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45EC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E70D624"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DD0F71">
              <w:rPr>
                <w:rFonts w:cs="Arial"/>
                <w:b/>
                <w:bCs/>
                <w:i/>
                <w:iCs/>
                <w:color w:val="000066"/>
                <w:sz w:val="22"/>
                <w:szCs w:val="22"/>
                <w:lang w:eastAsia="it-IT"/>
              </w:rPr>
              <w:t xml:space="preserve"> </w:t>
            </w:r>
            <w:r w:rsidRPr="00B57B36">
              <w:rPr>
                <w:rFonts w:cs="Arial"/>
                <w:b/>
                <w:bCs/>
                <w:i/>
                <w:iCs/>
                <w:color w:val="000066"/>
                <w:sz w:val="22"/>
                <w:szCs w:val="22"/>
                <w:lang w:eastAsia="it-IT"/>
              </w:rPr>
              <w:t xml:space="preserve">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16144" w14:paraId="380FA3CD" w14:textId="77777777" w:rsidTr="00345EC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A75EA0" w:rsidRDefault="000D0268" w:rsidP="00CD5FE2">
            <w:pPr>
              <w:spacing w:line="140" w:lineRule="atLeast"/>
              <w:jc w:val="right"/>
              <w:rPr>
                <w:rFonts w:cs="Arial"/>
                <w:sz w:val="13"/>
                <w:szCs w:val="13"/>
                <w:lang w:val="nb-NO"/>
              </w:rPr>
            </w:pPr>
            <w:r w:rsidRPr="00A75EA0">
              <w:rPr>
                <w:rFonts w:cs="Arial"/>
                <w:sz w:val="13"/>
                <w:szCs w:val="13"/>
                <w:lang w:val="nb-NO"/>
              </w:rPr>
              <w:t>Online at www.cetjournal.it</w:t>
            </w:r>
          </w:p>
        </w:tc>
      </w:tr>
      <w:tr w:rsidR="000A03B2" w:rsidRPr="00516144" w14:paraId="2D1B7169" w14:textId="77777777" w:rsidTr="00345EC2">
        <w:trPr>
          <w:trHeight w:val="68"/>
          <w:jc w:val="center"/>
        </w:trPr>
        <w:tc>
          <w:tcPr>
            <w:tcW w:w="8782" w:type="dxa"/>
            <w:gridSpan w:val="2"/>
          </w:tcPr>
          <w:p w14:paraId="1D8DD3C9" w14:textId="77777777" w:rsidR="00AA7D26" w:rsidRPr="00A75EA0" w:rsidRDefault="00AA7D26" w:rsidP="00AA7D26">
            <w:pPr>
              <w:ind w:left="-107"/>
              <w:outlineLvl w:val="2"/>
              <w:rPr>
                <w:rFonts w:ascii="Tahoma" w:hAnsi="Tahoma" w:cs="Tahoma"/>
                <w:bCs/>
                <w:color w:val="000000"/>
                <w:sz w:val="14"/>
                <w:szCs w:val="14"/>
                <w:lang w:val="nb-NO" w:eastAsia="it-IT"/>
              </w:rPr>
            </w:pPr>
            <w:proofErr w:type="spellStart"/>
            <w:r w:rsidRPr="00A75EA0">
              <w:rPr>
                <w:rFonts w:ascii="Tahoma" w:hAnsi="Tahoma" w:cs="Tahoma"/>
                <w:iCs/>
                <w:color w:val="333333"/>
                <w:sz w:val="14"/>
                <w:szCs w:val="14"/>
                <w:lang w:val="nb-NO" w:eastAsia="it-IT"/>
              </w:rPr>
              <w:t>Guest</w:t>
            </w:r>
            <w:proofErr w:type="spellEnd"/>
            <w:r w:rsidRPr="00A75EA0">
              <w:rPr>
                <w:rFonts w:ascii="Tahoma" w:hAnsi="Tahoma" w:cs="Tahoma"/>
                <w:iCs/>
                <w:color w:val="333333"/>
                <w:sz w:val="14"/>
                <w:szCs w:val="14"/>
                <w:lang w:val="nb-NO" w:eastAsia="it-IT"/>
              </w:rPr>
              <w:t xml:space="preserve"> Editors:</w:t>
            </w:r>
            <w:r w:rsidRPr="00A75EA0">
              <w:rPr>
                <w:rFonts w:ascii="Tahoma" w:hAnsi="Tahoma" w:cs="Tahoma"/>
                <w:color w:val="000000"/>
                <w:sz w:val="14"/>
                <w:szCs w:val="14"/>
                <w:shd w:val="clear" w:color="auto" w:fill="FFFFFF"/>
                <w:lang w:val="nb-NO"/>
              </w:rPr>
              <w:t xml:space="preserve"> </w:t>
            </w:r>
            <w:proofErr w:type="spellStart"/>
            <w:r w:rsidRPr="00A75EA0">
              <w:rPr>
                <w:rFonts w:ascii="Tahoma" w:hAnsi="Tahoma" w:cs="Tahoma"/>
                <w:sz w:val="14"/>
                <w:szCs w:val="14"/>
                <w:lang w:val="nb-NO"/>
              </w:rPr>
              <w:t>Sauro</w:t>
            </w:r>
            <w:proofErr w:type="spellEnd"/>
            <w:r w:rsidRPr="00A75EA0">
              <w:rPr>
                <w:rFonts w:ascii="Tahoma" w:hAnsi="Tahoma" w:cs="Tahoma"/>
                <w:sz w:val="14"/>
                <w:szCs w:val="14"/>
                <w:lang w:val="nb-NO"/>
              </w:rPr>
              <w:t xml:space="preserve"> </w:t>
            </w:r>
            <w:proofErr w:type="spellStart"/>
            <w:r w:rsidRPr="00A75EA0">
              <w:rPr>
                <w:rFonts w:ascii="Tahoma" w:hAnsi="Tahoma" w:cs="Tahoma"/>
                <w:sz w:val="14"/>
                <w:szCs w:val="14"/>
                <w:lang w:val="nb-NO"/>
              </w:rPr>
              <w:t>Pierucci</w:t>
            </w:r>
            <w:proofErr w:type="spellEnd"/>
            <w:r w:rsidRPr="00A75EA0">
              <w:rPr>
                <w:rFonts w:ascii="Tahoma" w:hAnsi="Tahoma" w:cs="Tahoma"/>
                <w:sz w:val="14"/>
                <w:szCs w:val="14"/>
                <w:lang w:val="nb-NO"/>
              </w:rPr>
              <w:t xml:space="preserve">, </w:t>
            </w:r>
            <w:r w:rsidRPr="00A75EA0">
              <w:rPr>
                <w:rFonts w:ascii="Tahoma" w:hAnsi="Tahoma" w:cs="Tahoma"/>
                <w:sz w:val="14"/>
                <w:szCs w:val="14"/>
                <w:shd w:val="clear" w:color="auto" w:fill="FFFFFF"/>
                <w:lang w:val="nb-NO"/>
              </w:rPr>
              <w:t>Jiří Jaromír Klemeš</w:t>
            </w:r>
          </w:p>
          <w:p w14:paraId="1B0F1814" w14:textId="650290B9" w:rsidR="000A03B2" w:rsidRPr="00A75EA0" w:rsidRDefault="00AA7D26" w:rsidP="00AA7D26">
            <w:pPr>
              <w:tabs>
                <w:tab w:val="left" w:pos="-108"/>
              </w:tabs>
              <w:spacing w:line="140" w:lineRule="atLeast"/>
              <w:ind w:left="-107"/>
              <w:jc w:val="left"/>
              <w:rPr>
                <w:lang w:val="nb-NO"/>
              </w:rPr>
            </w:pPr>
            <w:r w:rsidRPr="00A75EA0">
              <w:rPr>
                <w:rFonts w:ascii="Tahoma" w:hAnsi="Tahoma" w:cs="Tahoma"/>
                <w:iCs/>
                <w:color w:val="333333"/>
                <w:sz w:val="14"/>
                <w:szCs w:val="14"/>
                <w:lang w:val="nb-NO" w:eastAsia="it-IT"/>
              </w:rPr>
              <w:t>Copyright © 2023, AIDIC Servizi S.r.l.</w:t>
            </w:r>
            <w:r w:rsidRPr="00A75EA0">
              <w:rPr>
                <w:rFonts w:ascii="Tahoma" w:hAnsi="Tahoma" w:cs="Tahoma"/>
                <w:iCs/>
                <w:color w:val="333333"/>
                <w:sz w:val="14"/>
                <w:szCs w:val="14"/>
                <w:lang w:val="nb-NO" w:eastAsia="it-IT"/>
              </w:rPr>
              <w:br/>
            </w:r>
            <w:r w:rsidRPr="00A75EA0">
              <w:rPr>
                <w:rFonts w:ascii="Tahoma" w:hAnsi="Tahoma" w:cs="Tahoma"/>
                <w:b/>
                <w:iCs/>
                <w:color w:val="000000"/>
                <w:sz w:val="14"/>
                <w:szCs w:val="14"/>
                <w:lang w:val="nb-NO" w:eastAsia="it-IT"/>
              </w:rPr>
              <w:t>ISBN</w:t>
            </w:r>
            <w:r w:rsidRPr="00A75EA0">
              <w:rPr>
                <w:rFonts w:ascii="Tahoma" w:hAnsi="Tahoma" w:cs="Tahoma"/>
                <w:iCs/>
                <w:color w:val="000000"/>
                <w:sz w:val="14"/>
                <w:szCs w:val="14"/>
                <w:lang w:val="nb-NO" w:eastAsia="it-IT"/>
              </w:rPr>
              <w:t xml:space="preserve"> </w:t>
            </w:r>
            <w:r w:rsidRPr="00A75EA0">
              <w:rPr>
                <w:rFonts w:ascii="Tahoma" w:hAnsi="Tahoma" w:cs="Tahoma"/>
                <w:sz w:val="14"/>
                <w:szCs w:val="14"/>
                <w:lang w:val="nb-NO"/>
              </w:rPr>
              <w:t>978-88-95608-98-3</w:t>
            </w:r>
            <w:r w:rsidRPr="00A75EA0">
              <w:rPr>
                <w:rFonts w:ascii="Tahoma" w:hAnsi="Tahoma" w:cs="Tahoma"/>
                <w:iCs/>
                <w:color w:val="333333"/>
                <w:sz w:val="14"/>
                <w:szCs w:val="14"/>
                <w:lang w:val="nb-NO" w:eastAsia="it-IT"/>
              </w:rPr>
              <w:t xml:space="preserve">; </w:t>
            </w:r>
            <w:r w:rsidRPr="00A75EA0">
              <w:rPr>
                <w:rFonts w:ascii="Tahoma" w:hAnsi="Tahoma" w:cs="Tahoma"/>
                <w:b/>
                <w:iCs/>
                <w:color w:val="333333"/>
                <w:sz w:val="14"/>
                <w:szCs w:val="14"/>
                <w:lang w:val="nb-NO" w:eastAsia="it-IT"/>
              </w:rPr>
              <w:t>ISSN</w:t>
            </w:r>
            <w:r w:rsidRPr="00A75EA0">
              <w:rPr>
                <w:rFonts w:ascii="Tahoma" w:hAnsi="Tahoma" w:cs="Tahoma"/>
                <w:iCs/>
                <w:color w:val="333333"/>
                <w:sz w:val="14"/>
                <w:szCs w:val="14"/>
                <w:lang w:val="nb-NO" w:eastAsia="it-IT"/>
              </w:rPr>
              <w:t xml:space="preserve"> 2283-9216</w:t>
            </w:r>
          </w:p>
        </w:tc>
      </w:tr>
    </w:tbl>
    <w:p w14:paraId="2E667253" w14:textId="6ED2AB61" w:rsidR="00E978D0" w:rsidRPr="00B57B36" w:rsidRDefault="003849F9" w:rsidP="00E978D0">
      <w:pPr>
        <w:pStyle w:val="CETTitle"/>
      </w:pPr>
      <w:r w:rsidRPr="00345EC2">
        <w:t>A</w:t>
      </w:r>
      <w:r>
        <w:t>spen</w:t>
      </w:r>
      <w:r w:rsidRPr="00345EC2">
        <w:t xml:space="preserve"> Plus E</w:t>
      </w:r>
      <w:r>
        <w:t>NRTL</w:t>
      </w:r>
      <w:r w:rsidRPr="00345EC2">
        <w:t xml:space="preserve"> Model </w:t>
      </w:r>
      <w:r>
        <w:t>for</w:t>
      </w:r>
      <w:r w:rsidRPr="00345EC2">
        <w:t xml:space="preserve"> H</w:t>
      </w:r>
      <w:r>
        <w:t>S</w:t>
      </w:r>
      <w:r w:rsidRPr="00345EC2">
        <w:t xml:space="preserve">3 Blend, </w:t>
      </w:r>
      <w:r>
        <w:t>a</w:t>
      </w:r>
      <w:r w:rsidRPr="00345EC2">
        <w:t xml:space="preserve"> Novel </w:t>
      </w:r>
      <w:r>
        <w:t>Solvent f</w:t>
      </w:r>
      <w:r w:rsidRPr="00345EC2">
        <w:t>or C</w:t>
      </w:r>
      <w:r>
        <w:t>O</w:t>
      </w:r>
      <w:r w:rsidRPr="00345EC2">
        <w:rPr>
          <w:vertAlign w:val="subscript"/>
        </w:rPr>
        <w:t>2</w:t>
      </w:r>
      <w:r w:rsidRPr="00345EC2">
        <w:t xml:space="preserve"> Capture</w:t>
      </w:r>
    </w:p>
    <w:p w14:paraId="0488FED2" w14:textId="5648B444" w:rsidR="00B57E6F" w:rsidRPr="00345EC2" w:rsidRDefault="00345EC2" w:rsidP="00B57E6F">
      <w:pPr>
        <w:pStyle w:val="CETAuthors"/>
        <w:rPr>
          <w:lang w:val="it-IT"/>
        </w:rPr>
      </w:pPr>
      <w:r w:rsidRPr="00345EC2">
        <w:rPr>
          <w:lang w:val="it-IT"/>
        </w:rPr>
        <w:t>Matteo Gilardi</w:t>
      </w:r>
      <w:r w:rsidR="00B57E6F" w:rsidRPr="00345EC2">
        <w:rPr>
          <w:vertAlign w:val="superscript"/>
          <w:lang w:val="it-IT"/>
        </w:rPr>
        <w:t>a</w:t>
      </w:r>
      <w:r w:rsidRPr="00345EC2">
        <w:rPr>
          <w:vertAlign w:val="superscript"/>
          <w:lang w:val="it-IT"/>
        </w:rPr>
        <w:t>,</w:t>
      </w:r>
      <w:r w:rsidRPr="00DB35DB">
        <w:rPr>
          <w:lang w:val="it-IT"/>
        </w:rPr>
        <w:t>*</w:t>
      </w:r>
      <w:r w:rsidR="00B57E6F" w:rsidRPr="00345EC2">
        <w:rPr>
          <w:lang w:val="it-IT"/>
        </w:rPr>
        <w:t xml:space="preserve">, </w:t>
      </w:r>
      <w:r w:rsidRPr="00345EC2">
        <w:rPr>
          <w:lang w:val="it-IT"/>
        </w:rPr>
        <w:t>Filippo Bisotti</w:t>
      </w:r>
      <w:r w:rsidR="00B57E6F" w:rsidRPr="00345EC2">
        <w:rPr>
          <w:vertAlign w:val="superscript"/>
          <w:lang w:val="it-IT"/>
        </w:rPr>
        <w:t>b,</w:t>
      </w:r>
      <w:r w:rsidR="00B57E6F" w:rsidRPr="00345EC2">
        <w:rPr>
          <w:lang w:val="it-IT"/>
        </w:rPr>
        <w:t xml:space="preserve">*, </w:t>
      </w:r>
      <w:r w:rsidR="00E05453">
        <w:rPr>
          <w:lang w:val="it-IT"/>
        </w:rPr>
        <w:t>Hanna K. Knuutila</w:t>
      </w:r>
      <w:r w:rsidR="00E05453">
        <w:rPr>
          <w:vertAlign w:val="superscript"/>
          <w:lang w:val="it-IT"/>
        </w:rPr>
        <w:t>c</w:t>
      </w:r>
      <w:r w:rsidR="00E05453">
        <w:rPr>
          <w:lang w:val="it-IT"/>
        </w:rPr>
        <w:t xml:space="preserve">, </w:t>
      </w:r>
      <w:r w:rsidRPr="00345EC2">
        <w:rPr>
          <w:lang w:val="it-IT"/>
        </w:rPr>
        <w:t>Andrew Tobiesen</w:t>
      </w:r>
      <w:r w:rsidRPr="00345EC2">
        <w:rPr>
          <w:vertAlign w:val="superscript"/>
          <w:lang w:val="it-IT"/>
        </w:rPr>
        <w:t>b</w:t>
      </w:r>
      <w:r w:rsidRPr="00345EC2">
        <w:rPr>
          <w:lang w:val="it-IT"/>
        </w:rPr>
        <w:t>, Davide Bonalumi</w:t>
      </w:r>
      <w:r w:rsidRPr="00345EC2">
        <w:rPr>
          <w:vertAlign w:val="superscript"/>
          <w:lang w:val="it-IT"/>
        </w:rPr>
        <w:t>a</w:t>
      </w:r>
    </w:p>
    <w:p w14:paraId="6B2D21B3" w14:textId="0D245A12" w:rsidR="00B57E6F" w:rsidRPr="009E3DFB" w:rsidRDefault="00B57E6F" w:rsidP="00B57E6F">
      <w:pPr>
        <w:pStyle w:val="CETAddress"/>
        <w:rPr>
          <w:lang w:val="it-IT"/>
        </w:rPr>
      </w:pPr>
      <w:r w:rsidRPr="009E3DFB">
        <w:rPr>
          <w:vertAlign w:val="superscript"/>
          <w:lang w:val="it-IT"/>
        </w:rPr>
        <w:t>a</w:t>
      </w:r>
      <w:r w:rsidR="004A220F">
        <w:rPr>
          <w:vertAlign w:val="superscript"/>
          <w:lang w:val="it-IT"/>
        </w:rPr>
        <w:t xml:space="preserve"> </w:t>
      </w:r>
      <w:r w:rsidR="00345EC2" w:rsidRPr="009E3DFB">
        <w:rPr>
          <w:lang w:val="it-IT"/>
        </w:rPr>
        <w:t xml:space="preserve">Politecnico di Milano, Department of Energy, </w:t>
      </w:r>
      <w:r w:rsidR="008E568A" w:rsidRPr="009E3DFB">
        <w:rPr>
          <w:lang w:val="it-IT"/>
        </w:rPr>
        <w:t>Via Lambruschini</w:t>
      </w:r>
      <w:r w:rsidR="00BC6ADE" w:rsidRPr="009E3DFB">
        <w:rPr>
          <w:lang w:val="it-IT"/>
        </w:rPr>
        <w:t xml:space="preserve">, 4A, 20156, </w:t>
      </w:r>
      <w:r w:rsidR="00345EC2" w:rsidRPr="009E3DFB">
        <w:rPr>
          <w:lang w:val="it-IT"/>
        </w:rPr>
        <w:t>Milano (Italy)</w:t>
      </w:r>
    </w:p>
    <w:p w14:paraId="3D72B0B0" w14:textId="433F84AF" w:rsidR="00B57E6F" w:rsidRDefault="00B57E6F" w:rsidP="00B57E6F">
      <w:pPr>
        <w:pStyle w:val="CETAddress"/>
      </w:pPr>
      <w:r w:rsidRPr="009E3DFB">
        <w:rPr>
          <w:vertAlign w:val="superscript"/>
        </w:rPr>
        <w:t>b</w:t>
      </w:r>
      <w:r w:rsidR="004A220F">
        <w:rPr>
          <w:vertAlign w:val="superscript"/>
        </w:rPr>
        <w:t xml:space="preserve"> </w:t>
      </w:r>
      <w:r w:rsidR="00345EC2" w:rsidRPr="009E3DFB">
        <w:t>SINTEF Industry</w:t>
      </w:r>
      <w:r w:rsidR="00BC6ADE" w:rsidRPr="009E3DFB">
        <w:t xml:space="preserve"> – Process Technology</w:t>
      </w:r>
      <w:r w:rsidR="00345EC2" w:rsidRPr="009E3DFB">
        <w:t>,</w:t>
      </w:r>
      <w:r w:rsidR="00BC6ADE" w:rsidRPr="009E3DFB">
        <w:t xml:space="preserve"> Sem Sælands, 2A</w:t>
      </w:r>
      <w:r w:rsidR="009E3DFB" w:rsidRPr="009E3DFB">
        <w:t>, 7</w:t>
      </w:r>
      <w:r w:rsidR="00266DB9">
        <w:t>491</w:t>
      </w:r>
      <w:r w:rsidR="009E3DFB" w:rsidRPr="009E3DFB">
        <w:t>,</w:t>
      </w:r>
      <w:r w:rsidR="00345EC2" w:rsidRPr="009E3DFB">
        <w:t xml:space="preserve"> Trondheim (Norway)</w:t>
      </w:r>
    </w:p>
    <w:p w14:paraId="17B607FF" w14:textId="3655BACF" w:rsidR="00E05453" w:rsidRPr="00B57B36" w:rsidRDefault="004A220F" w:rsidP="00B57E6F">
      <w:pPr>
        <w:pStyle w:val="CETAddress"/>
      </w:pPr>
      <w:r>
        <w:rPr>
          <w:vertAlign w:val="superscript"/>
        </w:rPr>
        <w:t xml:space="preserve">c </w:t>
      </w:r>
      <w:r w:rsidRPr="004A220F">
        <w:t>Department of Chemical Engineering, Norwegian University of Science and Technology, NTNU, Trondheim, 7491, Norway</w:t>
      </w:r>
    </w:p>
    <w:p w14:paraId="73F1267A" w14:textId="6D580DB0" w:rsidR="00B57E6F" w:rsidRPr="00345EC2" w:rsidRDefault="00DB35DB" w:rsidP="00B57E6F">
      <w:pPr>
        <w:pStyle w:val="CETemail"/>
      </w:pPr>
      <w:r>
        <w:t xml:space="preserve">corresponding authors - </w:t>
      </w:r>
      <w:hyperlink r:id="rId10" w:history="1">
        <w:r w:rsidRPr="00E70EC9">
          <w:rPr>
            <w:rStyle w:val="Hyperlink"/>
          </w:rPr>
          <w:t>matteo.gilardi</w:t>
        </w:r>
        <w:r w:rsidRPr="00E70EC9">
          <w:rPr>
            <w:rStyle w:val="Hyperlink"/>
            <w:rFonts w:cs="Arial"/>
          </w:rPr>
          <w:t>@</w:t>
        </w:r>
        <w:r w:rsidRPr="00E70EC9">
          <w:rPr>
            <w:rStyle w:val="Hyperlink"/>
          </w:rPr>
          <w:t>polimi.it</w:t>
        </w:r>
      </w:hyperlink>
      <w:r w:rsidR="00345EC2" w:rsidRPr="00345EC2">
        <w:t xml:space="preserve">; </w:t>
      </w:r>
      <w:hyperlink r:id="rId11" w:history="1">
        <w:r w:rsidRPr="00E70EC9">
          <w:rPr>
            <w:rStyle w:val="Hyperlink"/>
          </w:rPr>
          <w:t>Filippo.Bisotti@sintef.no</w:t>
        </w:r>
      </w:hyperlink>
      <w:r>
        <w:t xml:space="preserve"> </w:t>
      </w:r>
    </w:p>
    <w:p w14:paraId="37A61FCE" w14:textId="43B03614" w:rsidR="00DA24C6" w:rsidRDefault="00C437D2" w:rsidP="009D5364">
      <w:pPr>
        <w:pStyle w:val="CETListbullets"/>
        <w:ind w:left="0" w:firstLine="0"/>
      </w:pPr>
      <w:r>
        <w:t>Carbon Capture and Storage</w:t>
      </w:r>
      <w:r w:rsidR="00994537">
        <w:t xml:space="preserve"> (CCS)</w:t>
      </w:r>
      <w:r>
        <w:t xml:space="preserve"> is among the main </w:t>
      </w:r>
      <w:r w:rsidR="00CC19DA">
        <w:t xml:space="preserve">available </w:t>
      </w:r>
      <w:r>
        <w:t xml:space="preserve">options </w:t>
      </w:r>
      <w:r w:rsidR="00CC19DA">
        <w:t>to cut CO</w:t>
      </w:r>
      <w:r w:rsidR="00CC19DA" w:rsidRPr="00CC19DA">
        <w:rPr>
          <w:vertAlign w:val="subscript"/>
        </w:rPr>
        <w:t>2</w:t>
      </w:r>
      <w:r w:rsidR="00CC19DA">
        <w:t xml:space="preserve"> emissions from the industry and energy production sectors, but the high costs of current CCS technology still limit their </w:t>
      </w:r>
      <w:r w:rsidR="00E040FF">
        <w:t>large-scale</w:t>
      </w:r>
      <w:r w:rsidR="00CC19DA">
        <w:t xml:space="preserve"> applicability. For this reason, there is increasing interest in alternative absorbents with the potential to lower the </w:t>
      </w:r>
      <w:r w:rsidR="00CC19DA" w:rsidRPr="00516144">
        <w:t>energy and environmental impact of carbon capture. The estimation of costs, as well as process design and optimization</w:t>
      </w:r>
      <w:r w:rsidR="00E040FF" w:rsidRPr="00516144">
        <w:t>,</w:t>
      </w:r>
      <w:r w:rsidR="00CC19DA" w:rsidRPr="00516144">
        <w:t xml:space="preserve"> require accurate, reliable</w:t>
      </w:r>
      <w:r w:rsidR="00DD0F71" w:rsidRPr="00516144">
        <w:t xml:space="preserve">, </w:t>
      </w:r>
      <w:r w:rsidR="00CC19DA" w:rsidRPr="00516144">
        <w:t>and stable thermodynamic model</w:t>
      </w:r>
      <w:r w:rsidR="00F87944" w:rsidRPr="00516144">
        <w:t>s</w:t>
      </w:r>
      <w:r w:rsidR="00CC19DA" w:rsidRPr="00516144">
        <w:t xml:space="preserve">. </w:t>
      </w:r>
      <w:r w:rsidR="00F87944" w:rsidRPr="00516144">
        <w:t>This</w:t>
      </w:r>
      <w:r w:rsidR="00CC19DA" w:rsidRPr="00516144">
        <w:t xml:space="preserve"> article presents the development and </w:t>
      </w:r>
      <w:r w:rsidR="00D70A23" w:rsidRPr="00516144">
        <w:t>testing</w:t>
      </w:r>
      <w:r w:rsidR="00CC19DA" w:rsidRPr="00516144">
        <w:t xml:space="preserve"> of an ELECNRTL model in Aspen Plus for the characte</w:t>
      </w:r>
      <w:r w:rsidR="00FB1515" w:rsidRPr="00516144">
        <w:t>rization of HS3, an innovative</w:t>
      </w:r>
      <w:r w:rsidR="00CC19DA" w:rsidRPr="00516144">
        <w:t xml:space="preserve"> blend</w:t>
      </w:r>
      <w:r w:rsidR="00FB1515" w:rsidRPr="00516144">
        <w:t xml:space="preserve"> made up of a primary (3-amino-1-propanol) and a tertiary (1-(2-hydroxyethyl) pyrrolidine) amine</w:t>
      </w:r>
      <w:r w:rsidR="00CC19DA" w:rsidRPr="00516144">
        <w:t xml:space="preserve"> </w:t>
      </w:r>
      <w:r w:rsidR="00D37CA8" w:rsidRPr="00516144">
        <w:t>studied</w:t>
      </w:r>
      <w:r w:rsidR="008C706F" w:rsidRPr="00516144">
        <w:t xml:space="preserve"> </w:t>
      </w:r>
      <w:r w:rsidR="00F87944" w:rsidRPr="00516144">
        <w:t>in</w:t>
      </w:r>
      <w:r w:rsidR="008C706F" w:rsidRPr="00516144">
        <w:t xml:space="preserve"> the H2020-funded Realise project. </w:t>
      </w:r>
      <w:r w:rsidR="00D37CA8" w:rsidRPr="00516144">
        <w:t xml:space="preserve">The </w:t>
      </w:r>
      <w:r w:rsidR="00994537" w:rsidRPr="00516144">
        <w:t>vapor-liquid equilibrium (VLE)</w:t>
      </w:r>
      <w:r w:rsidR="00D37CA8" w:rsidRPr="00516144">
        <w:t xml:space="preserve"> model </w:t>
      </w:r>
      <w:r w:rsidR="00180190" w:rsidRPr="00516144">
        <w:t>is</w:t>
      </w:r>
      <w:r w:rsidR="00D37CA8" w:rsidRPr="00516144">
        <w:t xml:space="preserve"> fitted to in-house experimental data covering a wide range of loadings and operating temperatures. </w:t>
      </w:r>
      <w:r w:rsidR="0047501D" w:rsidRPr="00516144">
        <w:t>A plot for the system speciation in the liquid phase is obtained</w:t>
      </w:r>
      <w:r w:rsidR="00D37CA8" w:rsidRPr="00516144">
        <w:t xml:space="preserve">. Moreover, a comparison between </w:t>
      </w:r>
      <w:r w:rsidR="00994537" w:rsidRPr="00516144">
        <w:t xml:space="preserve">the </w:t>
      </w:r>
      <w:r w:rsidR="00D37CA8" w:rsidRPr="00516144">
        <w:t xml:space="preserve">heat of absorption data and model prediction is also included. The proposed VLE model </w:t>
      </w:r>
      <w:r w:rsidR="00994537" w:rsidRPr="00516144">
        <w:t>shows</w:t>
      </w:r>
      <w:r w:rsidR="00D37CA8" w:rsidRPr="00516144">
        <w:t xml:space="preserve"> </w:t>
      </w:r>
      <w:r w:rsidR="00994537" w:rsidRPr="00516144">
        <w:t>good</w:t>
      </w:r>
      <w:r w:rsidR="00D37CA8" w:rsidRPr="00516144">
        <w:t xml:space="preserve"> accura</w:t>
      </w:r>
      <w:r w:rsidR="00994537" w:rsidRPr="00516144">
        <w:t>cy</w:t>
      </w:r>
      <w:r w:rsidR="00D37CA8" w:rsidRPr="00516144">
        <w:t xml:space="preserve"> and </w:t>
      </w:r>
      <w:r w:rsidR="00994537" w:rsidRPr="00516144">
        <w:t xml:space="preserve">numerical </w:t>
      </w:r>
      <w:r w:rsidR="00D37CA8" w:rsidRPr="00516144">
        <w:t>sta</w:t>
      </w:r>
      <w:r w:rsidR="00994537" w:rsidRPr="00516144">
        <w:t>bility</w:t>
      </w:r>
      <w:r w:rsidR="00D37CA8" w:rsidRPr="00516144">
        <w:t xml:space="preserve"> in the whole temperatures and </w:t>
      </w:r>
      <w:r w:rsidR="00D37CA8">
        <w:t>loading ranges of interest for industrial CO</w:t>
      </w:r>
      <w:r w:rsidR="00D37CA8" w:rsidRPr="00D37CA8">
        <w:rPr>
          <w:vertAlign w:val="subscript"/>
        </w:rPr>
        <w:t>2</w:t>
      </w:r>
      <w:r w:rsidR="00D37CA8">
        <w:t xml:space="preserve"> capture applications.</w:t>
      </w:r>
    </w:p>
    <w:p w14:paraId="476B2F2E" w14:textId="77777777" w:rsidR="00600535" w:rsidRPr="00B57B36" w:rsidRDefault="00600535" w:rsidP="00600535">
      <w:pPr>
        <w:pStyle w:val="CETHeading1"/>
        <w:rPr>
          <w:lang w:val="en-GB"/>
        </w:rPr>
      </w:pPr>
      <w:r w:rsidRPr="00B57B36">
        <w:rPr>
          <w:lang w:val="en-GB"/>
        </w:rPr>
        <w:t>Introduction</w:t>
      </w:r>
    </w:p>
    <w:p w14:paraId="12DF1808" w14:textId="0FEA4ECC" w:rsidR="007D5032" w:rsidRPr="005D4DDD" w:rsidRDefault="005B45A3" w:rsidP="00600535">
      <w:pPr>
        <w:pStyle w:val="CETBodytext"/>
      </w:pPr>
      <w:r>
        <w:rPr>
          <w:lang w:val="en-GB"/>
        </w:rPr>
        <w:t xml:space="preserve">To </w:t>
      </w:r>
      <w:r w:rsidR="00994537">
        <w:rPr>
          <w:lang w:val="en-GB"/>
        </w:rPr>
        <w:t>limit</w:t>
      </w:r>
      <w:r>
        <w:rPr>
          <w:lang w:val="en-GB"/>
        </w:rPr>
        <w:t xml:space="preserve"> to 1.5 °C the world temperature increase</w:t>
      </w:r>
      <w:r w:rsidR="00DA0589">
        <w:rPr>
          <w:lang w:val="en-GB"/>
        </w:rPr>
        <w:t xml:space="preserve">, </w:t>
      </w:r>
      <w:r>
        <w:rPr>
          <w:lang w:val="en-GB"/>
        </w:rPr>
        <w:t>net zero equivalent CO</w:t>
      </w:r>
      <w:r w:rsidRPr="005B45A3">
        <w:rPr>
          <w:vertAlign w:val="subscript"/>
          <w:lang w:val="en-GB"/>
        </w:rPr>
        <w:t>2</w:t>
      </w:r>
      <w:r>
        <w:rPr>
          <w:lang w:val="en-GB"/>
        </w:rPr>
        <w:t xml:space="preserve"> emissions must be reached </w:t>
      </w:r>
      <w:r w:rsidR="00A75EA0">
        <w:rPr>
          <w:lang w:val="en-GB"/>
        </w:rPr>
        <w:t xml:space="preserve">by </w:t>
      </w:r>
      <w:r>
        <w:rPr>
          <w:lang w:val="en-GB"/>
        </w:rPr>
        <w:t xml:space="preserve">2050. To reach </w:t>
      </w:r>
      <w:r w:rsidR="00A75EA0">
        <w:rPr>
          <w:lang w:val="en-GB"/>
        </w:rPr>
        <w:t>this</w:t>
      </w:r>
      <w:r w:rsidR="00DA0589">
        <w:rPr>
          <w:lang w:val="en-GB"/>
        </w:rPr>
        <w:t xml:space="preserve"> ambitious</w:t>
      </w:r>
      <w:r>
        <w:rPr>
          <w:lang w:val="en-GB"/>
        </w:rPr>
        <w:t xml:space="preserve"> target, several climate mitigation </w:t>
      </w:r>
      <w:r w:rsidR="00DA0589">
        <w:rPr>
          <w:lang w:val="en-GB"/>
        </w:rPr>
        <w:t>actions</w:t>
      </w:r>
      <w:r>
        <w:rPr>
          <w:lang w:val="en-GB"/>
        </w:rPr>
        <w:t xml:space="preserve"> should be followed simultaneously. This implies replacing fossil fuels with renewable sources</w:t>
      </w:r>
      <w:r w:rsidR="00DA0589">
        <w:rPr>
          <w:lang w:val="en-GB"/>
        </w:rPr>
        <w:t xml:space="preserve">, </w:t>
      </w:r>
      <w:r>
        <w:rPr>
          <w:lang w:val="en-GB"/>
        </w:rPr>
        <w:t xml:space="preserve">but also </w:t>
      </w:r>
      <w:r w:rsidR="007C047B">
        <w:rPr>
          <w:lang w:val="en-GB"/>
        </w:rPr>
        <w:t xml:space="preserve">capturing </w:t>
      </w:r>
      <w:r>
        <w:rPr>
          <w:lang w:val="en-GB"/>
        </w:rPr>
        <w:t xml:space="preserve">the </w:t>
      </w:r>
      <w:r w:rsidR="00DA0589">
        <w:rPr>
          <w:lang w:val="en-GB"/>
        </w:rPr>
        <w:t xml:space="preserve">produced </w:t>
      </w:r>
      <w:r>
        <w:rPr>
          <w:lang w:val="en-GB"/>
        </w:rPr>
        <w:t>CO</w:t>
      </w:r>
      <w:r w:rsidRPr="000467D9">
        <w:rPr>
          <w:vertAlign w:val="subscript"/>
          <w:lang w:val="en-GB"/>
        </w:rPr>
        <w:t>2</w:t>
      </w:r>
      <w:r>
        <w:rPr>
          <w:lang w:val="en-GB"/>
        </w:rPr>
        <w:t xml:space="preserve"> </w:t>
      </w:r>
      <w:r w:rsidR="007C047B">
        <w:rPr>
          <w:lang w:val="en-GB"/>
        </w:rPr>
        <w:t xml:space="preserve">in </w:t>
      </w:r>
      <w:r>
        <w:rPr>
          <w:lang w:val="en-GB"/>
        </w:rPr>
        <w:t xml:space="preserve">power and industry sectors. </w:t>
      </w:r>
      <w:r w:rsidR="000F37D3">
        <w:rPr>
          <w:lang w:val="en-GB"/>
        </w:rPr>
        <w:t>The most widely adopted technique for capturing CO</w:t>
      </w:r>
      <w:r w:rsidR="000F37D3" w:rsidRPr="000F37D3">
        <w:rPr>
          <w:vertAlign w:val="subscript"/>
          <w:lang w:val="en-GB"/>
        </w:rPr>
        <w:t>2</w:t>
      </w:r>
      <w:r w:rsidR="000F37D3">
        <w:rPr>
          <w:lang w:val="en-GB"/>
        </w:rPr>
        <w:t xml:space="preserve"> is chemical absorption with amines. At present, the main reason why carbon capture still finds limited applicability </w:t>
      </w:r>
      <w:r w:rsidR="007C047B">
        <w:rPr>
          <w:lang w:val="en-GB"/>
        </w:rPr>
        <w:t xml:space="preserve">is </w:t>
      </w:r>
      <w:r w:rsidR="000F37D3">
        <w:rPr>
          <w:lang w:val="en-GB"/>
        </w:rPr>
        <w:t>the high energy demand for amine solvent regeneration</w:t>
      </w:r>
      <w:r w:rsidR="005E4DCF">
        <w:rPr>
          <w:lang w:val="en-GB"/>
        </w:rPr>
        <w:t xml:space="preserve"> (Yamada, 2021)</w:t>
      </w:r>
      <w:r w:rsidR="000F37D3">
        <w:rPr>
          <w:lang w:val="en-GB"/>
        </w:rPr>
        <w:t>.</w:t>
      </w:r>
      <w:r>
        <w:rPr>
          <w:lang w:val="en-GB"/>
        </w:rPr>
        <w:t xml:space="preserve"> </w:t>
      </w:r>
      <w:r w:rsidR="000F37D3">
        <w:rPr>
          <w:lang w:val="en-GB"/>
        </w:rPr>
        <w:t xml:space="preserve">For this reason, </w:t>
      </w:r>
      <w:r w:rsidR="00DA0589">
        <w:rPr>
          <w:lang w:val="en-GB"/>
        </w:rPr>
        <w:t>the research aims at</w:t>
      </w:r>
      <w:r w:rsidR="000F37D3">
        <w:rPr>
          <w:lang w:val="en-GB"/>
        </w:rPr>
        <w:t xml:space="preserve"> developing alternative blends with potentially lower energy requirements</w:t>
      </w:r>
      <w:r w:rsidR="005E4DCF">
        <w:rPr>
          <w:lang w:val="en-GB"/>
        </w:rPr>
        <w:t xml:space="preserve"> (Pellegrini et al., 2021)</w:t>
      </w:r>
      <w:r w:rsidR="000F37D3">
        <w:rPr>
          <w:lang w:val="en-GB"/>
        </w:rPr>
        <w:t xml:space="preserve">. </w:t>
      </w:r>
      <w:r w:rsidR="007C047B">
        <w:rPr>
          <w:lang w:val="en-GB"/>
        </w:rPr>
        <w:t xml:space="preserve">The </w:t>
      </w:r>
      <w:r w:rsidR="000F37D3">
        <w:rPr>
          <w:lang w:val="en-GB"/>
        </w:rPr>
        <w:t>HS3, a blend of</w:t>
      </w:r>
      <w:r w:rsidR="00C76A9C">
        <w:rPr>
          <w:lang w:val="en-GB"/>
        </w:rPr>
        <w:t xml:space="preserve"> </w:t>
      </w:r>
      <w:r w:rsidR="005E4DCF">
        <w:rPr>
          <w:lang w:val="en-GB"/>
        </w:rPr>
        <w:t xml:space="preserve">15 wt% </w:t>
      </w:r>
      <w:r w:rsidR="000F37D3">
        <w:rPr>
          <w:lang w:val="en-GB"/>
        </w:rPr>
        <w:t>3-amino</w:t>
      </w:r>
      <w:r w:rsidR="005D4DDD">
        <w:rPr>
          <w:lang w:val="en-GB"/>
        </w:rPr>
        <w:t>-</w:t>
      </w:r>
      <w:r w:rsidR="000F37D3">
        <w:rPr>
          <w:lang w:val="en-GB"/>
        </w:rPr>
        <w:t xml:space="preserve">1-propanol (AP) and </w:t>
      </w:r>
      <w:r w:rsidR="005E4DCF">
        <w:rPr>
          <w:lang w:val="en-GB"/>
        </w:rPr>
        <w:t xml:space="preserve">40 wt% </w:t>
      </w:r>
      <w:r w:rsidR="000F37D3">
        <w:t xml:space="preserve">1-(2-hydroxyethyl) pyrrolidine (PRLD) </w:t>
      </w:r>
      <w:r w:rsidR="007C047B">
        <w:t xml:space="preserve">is a novel solvent </w:t>
      </w:r>
      <w:r w:rsidR="000F37D3">
        <w:t>investigated within the EU-funded Realise project</w:t>
      </w:r>
      <w:r w:rsidR="005E4DCF">
        <w:t xml:space="preserve"> (Realise, 2022)</w:t>
      </w:r>
      <w:r w:rsidR="000F37D3">
        <w:t>.</w:t>
      </w:r>
      <w:r w:rsidR="00BF6973">
        <w:t xml:space="preserve"> </w:t>
      </w:r>
      <w:r w:rsidR="007C047B">
        <w:t xml:space="preserve">A </w:t>
      </w:r>
      <w:r w:rsidR="005D4DDD">
        <w:t xml:space="preserve">process simulator is needed as a tool to design and optimize the process, as </w:t>
      </w:r>
      <w:r w:rsidR="005D4DDD" w:rsidRPr="00516144">
        <w:t>well as estimate energy requirements and costs</w:t>
      </w:r>
      <w:r w:rsidR="005E4DCF" w:rsidRPr="00516144">
        <w:t xml:space="preserve"> (Bisotti et al., 2022)</w:t>
      </w:r>
      <w:r w:rsidR="005D4DDD" w:rsidRPr="00516144">
        <w:t>.</w:t>
      </w:r>
      <w:r w:rsidR="007C047B" w:rsidRPr="00516144">
        <w:t xml:space="preserve"> </w:t>
      </w:r>
      <w:r w:rsidR="007D5032" w:rsidRPr="00516144">
        <w:t xml:space="preserve">The development and validation of an accurate vapor-liquid </w:t>
      </w:r>
      <w:r w:rsidR="00546FAC" w:rsidRPr="00516144">
        <w:t xml:space="preserve">equilibrium </w:t>
      </w:r>
      <w:r w:rsidR="007D5032" w:rsidRPr="00516144">
        <w:t>(VLE) model is an essential step</w:t>
      </w:r>
      <w:r w:rsidR="007C047B" w:rsidRPr="00516144">
        <w:t xml:space="preserve"> </w:t>
      </w:r>
      <w:r w:rsidR="009E1D67" w:rsidRPr="00516144">
        <w:t>for</w:t>
      </w:r>
      <w:r w:rsidR="007C047B" w:rsidRPr="00516144">
        <w:t xml:space="preserve"> </w:t>
      </w:r>
      <w:r w:rsidR="00546FAC" w:rsidRPr="00516144">
        <w:t>applying</w:t>
      </w:r>
      <w:r w:rsidR="00516144" w:rsidRPr="00516144">
        <w:t xml:space="preserve"> </w:t>
      </w:r>
      <w:r w:rsidR="007C047B" w:rsidRPr="00516144">
        <w:t xml:space="preserve">the novel solvent and </w:t>
      </w:r>
      <w:r w:rsidR="00AB5988" w:rsidRPr="00516144">
        <w:t>comparing</w:t>
      </w:r>
      <w:r w:rsidR="007C047B" w:rsidRPr="00516144">
        <w:t xml:space="preserve"> its performance with other well-known solvents. VLE</w:t>
      </w:r>
      <w:r w:rsidR="007D5032" w:rsidRPr="00516144">
        <w:t xml:space="preserve"> allow</w:t>
      </w:r>
      <w:r w:rsidR="007C047B" w:rsidRPr="00516144">
        <w:t>s</w:t>
      </w:r>
      <w:r w:rsidR="007D5032" w:rsidRPr="00516144">
        <w:t xml:space="preserve"> </w:t>
      </w:r>
      <w:r w:rsidR="003D7B2C" w:rsidRPr="00516144">
        <w:t>estimating</w:t>
      </w:r>
      <w:r w:rsidR="007D5032" w:rsidRPr="00516144">
        <w:t xml:space="preserve"> </w:t>
      </w:r>
      <w:r w:rsidR="003D7B2C" w:rsidRPr="00516144">
        <w:t xml:space="preserve">of </w:t>
      </w:r>
      <w:r w:rsidR="007D5032" w:rsidRPr="00516144">
        <w:t xml:space="preserve">chemical and physical equilibrium </w:t>
      </w:r>
      <w:r w:rsidR="00F01C8D" w:rsidRPr="00516144">
        <w:t>occurring</w:t>
      </w:r>
      <w:r w:rsidR="007D5032" w:rsidRPr="00516144">
        <w:t xml:space="preserve"> in the main process units (absorption, regeneration,</w:t>
      </w:r>
      <w:r w:rsidR="00485D79" w:rsidRPr="00516144">
        <w:t xml:space="preserve"> and</w:t>
      </w:r>
      <w:r w:rsidR="007D5032" w:rsidRPr="00516144">
        <w:t xml:space="preserve"> flashe</w:t>
      </w:r>
      <w:r w:rsidR="00485D79" w:rsidRPr="00516144">
        <w:t>s</w:t>
      </w:r>
      <w:r w:rsidR="007D5032" w:rsidRPr="00516144">
        <w:t>).</w:t>
      </w:r>
      <w:r w:rsidR="00BF6973" w:rsidRPr="00516144">
        <w:t xml:space="preserve"> </w:t>
      </w:r>
      <w:r w:rsidR="007D5032" w:rsidRPr="00516144">
        <w:t>This contribution presents a new ELECNRTL model implemented in Aspen Plus V11.0</w:t>
      </w:r>
      <w:r w:rsidR="005E4DCF" w:rsidRPr="00516144">
        <w:t xml:space="preserve"> </w:t>
      </w:r>
      <w:r w:rsidR="007D5032" w:rsidRPr="00516144">
        <w:t>and its testing in the operating conditions (CO</w:t>
      </w:r>
      <w:r w:rsidR="007D5032" w:rsidRPr="00516144">
        <w:rPr>
          <w:vertAlign w:val="subscript"/>
        </w:rPr>
        <w:t>2</w:t>
      </w:r>
      <w:r w:rsidR="007D5032" w:rsidRPr="00516144">
        <w:t xml:space="preserve"> loading, </w:t>
      </w:r>
      <w:r w:rsidR="007D5032">
        <w:t xml:space="preserve">temperature) of interest for </w:t>
      </w:r>
      <w:r w:rsidR="003D7B2C">
        <w:t>industrial-scale</w:t>
      </w:r>
      <w:r w:rsidR="007D5032">
        <w:t xml:space="preserve"> CO</w:t>
      </w:r>
      <w:r w:rsidR="007D5032" w:rsidRPr="007D5032">
        <w:rPr>
          <w:vertAlign w:val="subscript"/>
        </w:rPr>
        <w:t>2</w:t>
      </w:r>
      <w:r w:rsidR="007D5032">
        <w:t xml:space="preserve"> capture. ELECNRTL has been preferred to soft model approaches since it is based on a theoretical framework</w:t>
      </w:r>
      <w:r w:rsidR="002E118D">
        <w:t xml:space="preserve"> and</w:t>
      </w:r>
      <w:r w:rsidR="007D5032">
        <w:t xml:space="preserve"> it provides an estimate of the effective system composition in the liquid phase (neutral molecules, ions, cations).</w:t>
      </w:r>
    </w:p>
    <w:p w14:paraId="5741900F" w14:textId="6D740DE8" w:rsidR="00453E24" w:rsidRDefault="000B283D" w:rsidP="0059236F">
      <w:pPr>
        <w:pStyle w:val="CETHeading1"/>
        <w:numPr>
          <w:ilvl w:val="1"/>
          <w:numId w:val="25"/>
        </w:numPr>
      </w:pPr>
      <w:r>
        <w:t>Theoretical background</w:t>
      </w:r>
    </w:p>
    <w:p w14:paraId="09406386" w14:textId="69694CF3" w:rsidR="00453E24" w:rsidRDefault="00623F59" w:rsidP="00453E24">
      <w:pPr>
        <w:pStyle w:val="CETBodytext"/>
      </w:pPr>
      <w:r>
        <w:t>When an amine solution is loaded with CO</w:t>
      </w:r>
      <w:r w:rsidRPr="00623F59">
        <w:rPr>
          <w:vertAlign w:val="subscript"/>
        </w:rPr>
        <w:t>2</w:t>
      </w:r>
      <w:r>
        <w:t xml:space="preserve">, both chemical and physical equilibrium occur simultaneously. Chemical equilibrium is </w:t>
      </w:r>
      <w:r w:rsidR="009075ED">
        <w:t xml:space="preserve">usually </w:t>
      </w:r>
      <w:r>
        <w:t>described by a list of elementary reactions</w:t>
      </w:r>
      <w:r w:rsidR="009075ED">
        <w:t xml:space="preserve">. The reactive path changes according </w:t>
      </w:r>
      <w:r w:rsidR="009075ED">
        <w:lastRenderedPageBreak/>
        <w:t>to the amine order (i.e.</w:t>
      </w:r>
      <w:r w:rsidR="007C047B">
        <w:t>,</w:t>
      </w:r>
      <w:r w:rsidR="009075ED">
        <w:t xml:space="preserve"> primary and tertiary amine), but does not depend on the specific amine under consideration. Details on the elementary reaction scheme adopted in this work are av</w:t>
      </w:r>
      <w:r w:rsidR="00441E01">
        <w:t>ailable in the met</w:t>
      </w:r>
      <w:r w:rsidR="007C047B">
        <w:t>h</w:t>
      </w:r>
      <w:r w:rsidR="00441E01">
        <w:t xml:space="preserve">ods section. </w:t>
      </w:r>
      <w:r>
        <w:t>Regarding phase equilibria, a</w:t>
      </w:r>
      <w:r w:rsidR="000B283D">
        <w:t>mine solutions are</w:t>
      </w:r>
      <w:r>
        <w:t xml:space="preserve"> </w:t>
      </w:r>
      <w:r w:rsidR="000B283D">
        <w:t>characterized by strongly non</w:t>
      </w:r>
      <w:r w:rsidR="007C047B">
        <w:t>-</w:t>
      </w:r>
      <w:r w:rsidR="000B283D">
        <w:t xml:space="preserve">ideal interactions in the </w:t>
      </w:r>
      <w:r w:rsidR="000B283D" w:rsidRPr="00516144">
        <w:t xml:space="preserve">liquid phase between the cations and ions forming </w:t>
      </w:r>
      <w:r w:rsidR="008A259E" w:rsidRPr="00516144">
        <w:t>because of</w:t>
      </w:r>
      <w:r w:rsidR="000B283D" w:rsidRPr="00516144">
        <w:t xml:space="preserve"> </w:t>
      </w:r>
      <w:r w:rsidR="003D7B2C" w:rsidRPr="00516144">
        <w:t>amine</w:t>
      </w:r>
      <w:r w:rsidR="000B283D" w:rsidRPr="00516144">
        <w:t xml:space="preserve"> reactions with </w:t>
      </w:r>
      <w:r w:rsidR="007C047B" w:rsidRPr="00516144">
        <w:t xml:space="preserve">the dissolved </w:t>
      </w:r>
      <w:r w:rsidR="000B283D" w:rsidRPr="00516144">
        <w:t>CO</w:t>
      </w:r>
      <w:r w:rsidR="000B283D" w:rsidRPr="00516144">
        <w:rPr>
          <w:vertAlign w:val="subscript"/>
        </w:rPr>
        <w:t>2</w:t>
      </w:r>
      <w:r w:rsidR="000B283D" w:rsidRPr="00516144">
        <w:t xml:space="preserve">. Thus, an activity coefficient model is recommended to define vapor-liquid equilibrium (VLE) in these systems. </w:t>
      </w:r>
      <w:r w:rsidR="008A259E" w:rsidRPr="00516144">
        <w:t>T</w:t>
      </w:r>
      <w:r w:rsidR="000B283D" w:rsidRPr="00516144">
        <w:t>he Non-Random-Two-Liquid (NRTL) model proposed by Renon and Pr</w:t>
      </w:r>
      <w:r w:rsidR="002122F2" w:rsidRPr="00516144">
        <w:t>a</w:t>
      </w:r>
      <w:r w:rsidR="000B283D" w:rsidRPr="00516144">
        <w:t>usni</w:t>
      </w:r>
      <w:r w:rsidR="002122F2" w:rsidRPr="00516144">
        <w:t>t</w:t>
      </w:r>
      <w:r w:rsidR="000B283D" w:rsidRPr="00516144">
        <w:t>z (</w:t>
      </w:r>
      <w:r w:rsidR="002122F2" w:rsidRPr="00516144">
        <w:t>1969</w:t>
      </w:r>
      <w:r w:rsidR="000B283D" w:rsidRPr="00516144">
        <w:t>)</w:t>
      </w:r>
      <w:r w:rsidR="00D26AAD" w:rsidRPr="00516144">
        <w:t xml:space="preserve"> </w:t>
      </w:r>
      <w:r w:rsidR="000B283D" w:rsidRPr="00516144">
        <w:t xml:space="preserve">has been extended to account for cation-anion pairs interactions with neutral molecules inside mixed solvent electrolyte systems in a wide temperature range </w:t>
      </w:r>
      <w:sdt>
        <w:sdtPr>
          <w:tag w:val="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"/>
          <w:id w:val="502483767"/>
          <w:placeholder>
            <w:docPart w:val="B313479043E6472CA0FE6F09D2BD6143"/>
          </w:placeholder>
        </w:sdtPr>
        <w:sdtContent>
          <w:r w:rsidR="000B283D" w:rsidRPr="00516144">
            <w:t>(Hartono et al., 2021; Lin et al., 2022)</w:t>
          </w:r>
        </w:sdtContent>
      </w:sdt>
      <w:r w:rsidR="000B283D" w:rsidRPr="00516144">
        <w:t xml:space="preserve">. </w:t>
      </w:r>
      <w:r w:rsidR="009D5364" w:rsidRPr="00516144">
        <w:t xml:space="preserve">The activity coefficient of each component is </w:t>
      </w:r>
      <w:r w:rsidR="009D5364">
        <w:t xml:space="preserve">calculated based on a list of parameters describing the interaction of every single molecule </w:t>
      </w:r>
      <w:r w:rsidR="001A0EE2">
        <w:t xml:space="preserve">(i) </w:t>
      </w:r>
      <w:r w:rsidR="009D5364">
        <w:t>with all the other molecules and cation-anion pairs</w:t>
      </w:r>
      <w:r w:rsidR="001A0EE2">
        <w:t xml:space="preserve"> (j)</w:t>
      </w:r>
      <w:r w:rsidR="009D5364">
        <w:t xml:space="preserve">. </w:t>
      </w:r>
      <w:r w:rsidR="001A0EE2">
        <w:t xml:space="preserve">The interaction parameters are furtherly classified into </w:t>
      </w:r>
      <w:r w:rsidR="009E1D67">
        <w:t>temperature-non-dependent</w:t>
      </w:r>
      <w:r w:rsidR="001A0EE2">
        <w:t xml:space="preserve"> (A</w:t>
      </w:r>
      <w:r w:rsidR="001A0EE2" w:rsidRPr="009E1D67">
        <w:rPr>
          <w:vertAlign w:val="subscript"/>
        </w:rPr>
        <w:t>ij</w:t>
      </w:r>
      <w:r w:rsidR="001A0EE2">
        <w:t>) and temperature-dependent coefficients</w:t>
      </w:r>
      <w:r w:rsidR="00B770E3">
        <w:t xml:space="preserve"> (B</w:t>
      </w:r>
      <w:r w:rsidR="00B770E3" w:rsidRPr="009E1D67">
        <w:rPr>
          <w:vertAlign w:val="subscript"/>
        </w:rPr>
        <w:t>ij</w:t>
      </w:r>
      <w:r w:rsidR="00B770E3">
        <w:t>)</w:t>
      </w:r>
      <w:r w:rsidR="001A0EE2">
        <w:t>. These</w:t>
      </w:r>
      <w:r w:rsidR="009D5364">
        <w:t xml:space="preserve"> coefficients must be fitted to experimental VLE data. </w:t>
      </w:r>
      <w:r w:rsidR="00E428AA">
        <w:t xml:space="preserve">On the other hand, ionic interactions in the gas phase are negligible, since the volatility of charged molecules is </w:t>
      </w:r>
      <w:r w:rsidR="00D26AAD">
        <w:t>negligible</w:t>
      </w:r>
      <w:r w:rsidR="00E428AA">
        <w:t xml:space="preserve">. </w:t>
      </w:r>
      <w:r w:rsidR="005E76B4">
        <w:t>For this reason, the gas phase can be either assumed as an ideal gas or modelled by means of a</w:t>
      </w:r>
      <w:r w:rsidR="00D26AAD">
        <w:t xml:space="preserve">ny suitable </w:t>
      </w:r>
      <w:r w:rsidR="005E76B4">
        <w:t>equation of state.</w:t>
      </w:r>
      <w:r w:rsidR="003541EC">
        <w:t xml:space="preserve"> </w:t>
      </w:r>
      <w:r w:rsidR="000B283D">
        <w:t xml:space="preserve">The VLE model (ELECNRTL) has already been successfully applied </w:t>
      </w:r>
      <w:r w:rsidR="009075ED">
        <w:t xml:space="preserve">in Aspen Plus </w:t>
      </w:r>
      <w:r w:rsidR="000B283D">
        <w:t xml:space="preserve">for the characterization of </w:t>
      </w:r>
      <w:r w:rsidR="00D26AAD">
        <w:t xml:space="preserve">some </w:t>
      </w:r>
      <w:r w:rsidR="000B283D">
        <w:t>amine</w:t>
      </w:r>
      <w:r>
        <w:t>s</w:t>
      </w:r>
      <w:r w:rsidR="009075ED" w:rsidRPr="009075ED">
        <w:t xml:space="preserve"> </w:t>
      </w:r>
      <w:r w:rsidR="009075ED">
        <w:t xml:space="preserve">and blends </w:t>
      </w:r>
      <w:sdt>
        <w:sdtPr>
          <w:rPr>
            <w:color w:val="000000"/>
          </w:rPr>
          <w:tag w:val="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"/>
          <w:id w:val="1542866728"/>
          <w:placeholder>
            <w:docPart w:val="608143A9483547C1B7401A9544A85A67"/>
          </w:placeholder>
        </w:sdtPr>
        <w:sdtContent>
          <w:r w:rsidR="002122F2" w:rsidRPr="006A0A87">
            <w:rPr>
              <w:color w:val="000000"/>
            </w:rPr>
            <w:t>(Dutcher et al., 2015</w:t>
          </w:r>
          <w:r w:rsidR="006A0A87" w:rsidRPr="006A0A87">
            <w:rPr>
              <w:color w:val="000000"/>
            </w:rPr>
            <w:t>;</w:t>
          </w:r>
          <w:r w:rsidR="00192596" w:rsidRPr="006A0A87">
            <w:rPr>
              <w:color w:val="000000"/>
            </w:rPr>
            <w:t xml:space="preserve"> Yamada, 2021)</w:t>
          </w:r>
        </w:sdtContent>
      </w:sdt>
      <w:r w:rsidR="009075ED">
        <w:t>.</w:t>
      </w:r>
    </w:p>
    <w:p w14:paraId="677EBFF0" w14:textId="613B77EE" w:rsidR="00600535" w:rsidRDefault="004D79E1" w:rsidP="00600535">
      <w:pPr>
        <w:pStyle w:val="CETHeading1"/>
        <w:tabs>
          <w:tab w:val="right" w:pos="7100"/>
        </w:tabs>
        <w:jc w:val="both"/>
        <w:rPr>
          <w:lang w:val="en-GB"/>
        </w:rPr>
      </w:pPr>
      <w:r>
        <w:rPr>
          <w:lang w:val="en-GB"/>
        </w:rPr>
        <w:t>ELECNRTL VLE model development</w:t>
      </w:r>
    </w:p>
    <w:p w14:paraId="0EE9668B" w14:textId="766590B5" w:rsidR="00FB1515" w:rsidRPr="00FB1515" w:rsidRDefault="00FB1515" w:rsidP="00FB1515">
      <w:pPr>
        <w:pStyle w:val="CETBodytext"/>
        <w:rPr>
          <w:lang w:val="en-GB"/>
        </w:rPr>
      </w:pPr>
      <w:r>
        <w:rPr>
          <w:lang w:val="en-GB"/>
        </w:rPr>
        <w:t xml:space="preserve">This section </w:t>
      </w:r>
      <w:r w:rsidR="005304DC">
        <w:rPr>
          <w:lang w:val="en-GB"/>
        </w:rPr>
        <w:t>resumes</w:t>
      </w:r>
      <w:r>
        <w:rPr>
          <w:lang w:val="en-GB"/>
        </w:rPr>
        <w:t xml:space="preserve"> the procedure for the d</w:t>
      </w:r>
      <w:r w:rsidR="00D70A23">
        <w:rPr>
          <w:lang w:val="en-GB"/>
        </w:rPr>
        <w:t>evelop</w:t>
      </w:r>
      <w:r w:rsidR="005304DC">
        <w:rPr>
          <w:lang w:val="en-GB"/>
        </w:rPr>
        <w:t>ing</w:t>
      </w:r>
      <w:r w:rsidR="00D70A23">
        <w:rPr>
          <w:lang w:val="en-GB"/>
        </w:rPr>
        <w:t>, implement</w:t>
      </w:r>
      <w:r w:rsidR="005304DC">
        <w:rPr>
          <w:lang w:val="en-GB"/>
        </w:rPr>
        <w:t>ing</w:t>
      </w:r>
      <w:r w:rsidR="00D70A23">
        <w:rPr>
          <w:lang w:val="en-GB"/>
        </w:rPr>
        <w:t xml:space="preserve"> and testing</w:t>
      </w:r>
      <w:r>
        <w:rPr>
          <w:lang w:val="en-GB"/>
        </w:rPr>
        <w:t xml:space="preserve"> of an ELECNRTL model for HS3 solvent in Aspen Plus V11.0.</w:t>
      </w:r>
    </w:p>
    <w:p w14:paraId="04963A06" w14:textId="5959306A" w:rsidR="00600535" w:rsidRPr="0059236F" w:rsidRDefault="00FB1515" w:rsidP="000553EC">
      <w:pPr>
        <w:pStyle w:val="CETheadingx"/>
      </w:pPr>
      <w:bookmarkStart w:id="0" w:name="_Ref120964090"/>
      <w:r w:rsidRPr="0059236F">
        <w:t>Elementary reaction scheme and equilibrium constants</w:t>
      </w:r>
      <w:bookmarkEnd w:id="0"/>
    </w:p>
    <w:p w14:paraId="2E562C00" w14:textId="3C586488" w:rsidR="004577FE" w:rsidRDefault="0067490E" w:rsidP="0067490E">
      <w:pPr>
        <w:pStyle w:val="CETListbullets"/>
        <w:ind w:left="0" w:firstLine="0"/>
      </w:pPr>
      <w:r>
        <w:t xml:space="preserve">The </w:t>
      </w:r>
      <w:r w:rsidR="00C3349F">
        <w:t>blend</w:t>
      </w:r>
      <w:r>
        <w:t xml:space="preserve"> </w:t>
      </w:r>
      <w:r w:rsidR="007C047B">
        <w:t xml:space="preserve">constituents </w:t>
      </w:r>
      <w:r>
        <w:t>follow two different paths when reacting with CO</w:t>
      </w:r>
      <w:r w:rsidRPr="00192596">
        <w:rPr>
          <w:vertAlign w:val="subscript"/>
        </w:rPr>
        <w:t>2</w:t>
      </w:r>
      <w:r w:rsidR="00C3349F">
        <w:t xml:space="preserve">: </w:t>
      </w:r>
      <w:r>
        <w:t xml:space="preserve">the primary amine (AP) can either protonate according to (4) or turn into carbamate </w:t>
      </w:r>
      <w:r w:rsidR="00C3349F">
        <w:t xml:space="preserve">form </w:t>
      </w:r>
      <w:r>
        <w:t xml:space="preserve">(5), while the tertiary amine (PRLD) can only </w:t>
      </w:r>
      <w:r w:rsidR="00EB4E61">
        <w:t xml:space="preserve">protonate or deprotonate as highlighted in reaction (6). </w:t>
      </w:r>
      <w:r w:rsidR="000E1870">
        <w:t xml:space="preserve">Further, other </w:t>
      </w:r>
      <w:r w:rsidR="00EB4E61">
        <w:t>reactions take place in the system without involving amines: self-ionization of water (1), hydrolysis of CO</w:t>
      </w:r>
      <w:r w:rsidR="00EB4E61" w:rsidRPr="003E3C3D">
        <w:rPr>
          <w:vertAlign w:val="subscript"/>
        </w:rPr>
        <w:t>2</w:t>
      </w:r>
      <w:r w:rsidR="00EB4E61">
        <w:t xml:space="preserve"> (2) and carbonate formation (3).</w:t>
      </w:r>
      <w:r w:rsidR="00BF6973">
        <w:t xml:space="preserve"> </w:t>
      </w:r>
      <w:r w:rsidR="00192596">
        <w:t>For each elementary reaction, a temperature-dependent equilibrium constant</w:t>
      </w:r>
      <w:r w:rsidR="000D34BD">
        <w:t xml:space="preserve"> (k</w:t>
      </w:r>
      <w:r w:rsidR="000D34BD" w:rsidRPr="000D34BD">
        <w:rPr>
          <w:vertAlign w:val="subscript"/>
        </w:rPr>
        <w:t>eq</w:t>
      </w:r>
      <w:r w:rsidR="000D34BD">
        <w:t>)</w:t>
      </w:r>
      <w:r w:rsidR="00192596">
        <w:t xml:space="preserve"> is defined according to expression (7).</w:t>
      </w:r>
      <w:r w:rsidR="003947E8">
        <w:t xml:space="preserve"> </w:t>
      </w:r>
      <w:r w:rsidR="003947E8" w:rsidRPr="003947E8">
        <w:t xml:space="preserve">For each elementary reaction, a temperature-dependent equilibrium constant is defined </w:t>
      </w:r>
      <w:r w:rsidR="005C71CF">
        <w:t>whose general</w:t>
      </w:r>
      <w:r w:rsidR="003947E8" w:rsidRPr="003947E8">
        <w:t xml:space="preserve"> expression</w:t>
      </w:r>
      <w:r w:rsidR="005C71CF">
        <w:t xml:space="preserve"> is</w:t>
      </w:r>
      <w:r w:rsidR="003947E8" w:rsidRPr="003947E8">
        <w:t xml:space="preserve"> (7). </w:t>
      </w:r>
      <w:r w:rsidR="005C71CF">
        <w:t>The</w:t>
      </w:r>
      <w:r w:rsidR="003947E8" w:rsidRPr="003947E8">
        <w:t xml:space="preserve"> list of equilibrium constants together with their sources is provided in Table 1.</w:t>
      </w:r>
      <w:r w:rsidR="00192596">
        <w:t xml:space="preserve"> </w:t>
      </w:r>
    </w:p>
    <w:p w14:paraId="6027212F" w14:textId="77777777" w:rsidR="00A630C3" w:rsidRPr="00B57B36" w:rsidRDefault="00A630C3" w:rsidP="0067490E">
      <w:pPr>
        <w:pStyle w:val="CETListbullets"/>
        <w:ind w:left="0" w:firstLine="0"/>
      </w:pPr>
    </w:p>
    <w:tbl>
      <w:tblPr>
        <w:tblW w:w="5000" w:type="pct"/>
        <w:tblLook w:val="04A0" w:firstRow="1" w:lastRow="0" w:firstColumn="1" w:lastColumn="0" w:noHBand="0" w:noVBand="1"/>
      </w:tblPr>
      <w:tblGrid>
        <w:gridCol w:w="7981"/>
        <w:gridCol w:w="806"/>
      </w:tblGrid>
      <w:tr w:rsidR="004577FE" w:rsidRPr="00B57B36" w14:paraId="18DE34A8" w14:textId="77777777" w:rsidTr="00411567">
        <w:tc>
          <w:tcPr>
            <w:tcW w:w="7981" w:type="dxa"/>
            <w:shd w:val="clear" w:color="auto" w:fill="auto"/>
            <w:vAlign w:val="center"/>
          </w:tcPr>
          <w:p w14:paraId="3AE2D949" w14:textId="0304B830" w:rsidR="004577FE" w:rsidRPr="00B57B36" w:rsidRDefault="00546FAC" w:rsidP="00546FAC">
            <w:pPr>
              <w:pStyle w:val="CETEquation"/>
              <w:spacing w:before="0" w:after="0" w:line="240" w:lineRule="auto"/>
            </w:pPr>
            <m:oMathPara>
              <m:oMath>
                <m:r>
                  <w:rPr>
                    <w:rFonts w:ascii="Cambria Math"/>
                  </w:rPr>
                  <m:t>2</m:t>
                </m:r>
                <m:sSub>
                  <m:sSubPr>
                    <m:ctrlPr>
                      <w:rPr>
                        <w:rFonts w:ascii="Cambria Math" w:hAnsi="Cambria Math"/>
                        <w:i/>
                      </w:rPr>
                    </m:ctrlPr>
                  </m:sSubPr>
                  <m:e>
                    <m:r>
                      <w:rPr>
                        <w:rFonts w:ascii="Cambria Math"/>
                      </w:rPr>
                      <m:t>H</m:t>
                    </m:r>
                  </m:e>
                  <m:sub>
                    <m:r>
                      <w:rPr>
                        <w:rFonts w:ascii="Cambria Math"/>
                      </w:rPr>
                      <m:t>2</m:t>
                    </m:r>
                  </m:sub>
                </m:sSub>
                <m:r>
                  <w:rPr>
                    <w:rFonts w:ascii="Cambria Math"/>
                  </w:rPr>
                  <m:t>O</m:t>
                </m:r>
                <m:r>
                  <w:rPr>
                    <w:rFonts w:ascii="MS Mincho" w:eastAsia="MS Mincho" w:hAnsi="MS Mincho" w:cs="MS Mincho" w:hint="eastAsia"/>
                  </w:rPr>
                  <m:t>⇌</m:t>
                </m:r>
                <m:sSub>
                  <m:sSubPr>
                    <m:ctrlPr>
                      <w:rPr>
                        <w:rFonts w:ascii="Cambria Math" w:hAnsi="Cambria Math"/>
                        <w:i/>
                      </w:rPr>
                    </m:ctrlPr>
                  </m:sSubPr>
                  <m:e>
                    <m:r>
                      <w:rPr>
                        <w:rFonts w:ascii="Cambria Math"/>
                      </w:rPr>
                      <m:t>H</m:t>
                    </m:r>
                  </m:e>
                  <m:sub>
                    <m:r>
                      <w:rPr>
                        <w:rFonts w:ascii="Cambria Math"/>
                      </w:rPr>
                      <m:t>3</m:t>
                    </m:r>
                  </m:sub>
                </m:sSub>
                <m:sSup>
                  <m:sSupPr>
                    <m:ctrlPr>
                      <w:rPr>
                        <w:rFonts w:ascii="Cambria Math" w:hAnsi="Cambria Math"/>
                        <w:i/>
                      </w:rPr>
                    </m:ctrlPr>
                  </m:sSupPr>
                  <m:e>
                    <m:r>
                      <w:rPr>
                        <w:rFonts w:ascii="Cambria Math"/>
                      </w:rPr>
                      <m:t>O</m:t>
                    </m:r>
                  </m:e>
                  <m:sup>
                    <m:r>
                      <w:rPr>
                        <w:rFonts w:ascii="Cambria Math"/>
                      </w:rPr>
                      <m:t>+</m:t>
                    </m:r>
                  </m:sup>
                </m:sSup>
                <m:r>
                  <w:rPr>
                    <w:rFonts w:ascii="Cambria Math"/>
                  </w:rPr>
                  <m:t>+O</m:t>
                </m:r>
                <m:sSup>
                  <m:sSupPr>
                    <m:ctrlPr>
                      <w:rPr>
                        <w:rFonts w:ascii="Cambria Math" w:hAnsi="Cambria Math"/>
                        <w:i/>
                      </w:rPr>
                    </m:ctrlPr>
                  </m:sSupPr>
                  <m:e>
                    <m:r>
                      <w:rPr>
                        <w:rFonts w:ascii="Cambria Math"/>
                      </w:rPr>
                      <m:t>H</m:t>
                    </m:r>
                  </m:e>
                  <m:sup>
                    <m:r>
                      <w:rPr>
                        <w:rFonts w:ascii="Cambria Math"/>
                      </w:rPr>
                      <m:t>-</m:t>
                    </m:r>
                  </m:sup>
                </m:sSup>
              </m:oMath>
            </m:oMathPara>
          </w:p>
        </w:tc>
        <w:tc>
          <w:tcPr>
            <w:tcW w:w="806" w:type="dxa"/>
            <w:shd w:val="clear" w:color="auto" w:fill="auto"/>
            <w:vAlign w:val="center"/>
          </w:tcPr>
          <w:p w14:paraId="2BB6A4D4" w14:textId="77777777" w:rsidR="004577FE" w:rsidRPr="00B57B36" w:rsidRDefault="004577FE" w:rsidP="00A630C3">
            <w:pPr>
              <w:pStyle w:val="CETEquation"/>
              <w:spacing w:before="0" w:after="0" w:line="240" w:lineRule="auto"/>
              <w:jc w:val="right"/>
            </w:pPr>
            <w:r w:rsidRPr="00B57B36">
              <w:t>(1)</w:t>
            </w:r>
          </w:p>
        </w:tc>
      </w:tr>
      <w:tr w:rsidR="003E3C3D" w:rsidRPr="00B57B36" w14:paraId="4697977C" w14:textId="77777777" w:rsidTr="00411567">
        <w:tc>
          <w:tcPr>
            <w:tcW w:w="7981" w:type="dxa"/>
            <w:shd w:val="clear" w:color="auto" w:fill="auto"/>
            <w:vAlign w:val="center"/>
          </w:tcPr>
          <w:p w14:paraId="79342655" w14:textId="336A57AF" w:rsidR="003E3C3D" w:rsidRPr="00B57B36" w:rsidRDefault="00546FAC" w:rsidP="00546FAC">
            <w:pPr>
              <w:pStyle w:val="CETEquation"/>
              <w:spacing w:before="0" w:after="0" w:line="240" w:lineRule="auto"/>
            </w:pPr>
            <m:oMathPara>
              <m:oMath>
                <m:r>
                  <w:rPr>
                    <w:rFonts w:ascii="Cambria Math"/>
                  </w:rPr>
                  <m:t>2</m:t>
                </m:r>
                <m:sSub>
                  <m:sSubPr>
                    <m:ctrlPr>
                      <w:rPr>
                        <w:rFonts w:ascii="Cambria Math" w:hAnsi="Cambria Math"/>
                        <w:i/>
                      </w:rPr>
                    </m:ctrlPr>
                  </m:sSubPr>
                  <m:e>
                    <m:r>
                      <w:rPr>
                        <w:rFonts w:ascii="Cambria Math"/>
                      </w:rPr>
                      <m:t>H</m:t>
                    </m:r>
                  </m:e>
                  <m:sub>
                    <m:r>
                      <w:rPr>
                        <w:rFonts w:ascii="Cambria Math"/>
                      </w:rPr>
                      <m:t>2</m:t>
                    </m:r>
                  </m:sub>
                </m:sSub>
                <m:r>
                  <w:rPr>
                    <w:rFonts w:ascii="Cambria Math"/>
                  </w:rPr>
                  <m:t>O+C</m:t>
                </m:r>
                <m:sSub>
                  <m:sSubPr>
                    <m:ctrlPr>
                      <w:rPr>
                        <w:rFonts w:ascii="Cambria Math" w:hAnsi="Cambria Math"/>
                        <w:i/>
                      </w:rPr>
                    </m:ctrlPr>
                  </m:sSubPr>
                  <m:e>
                    <m:r>
                      <w:rPr>
                        <w:rFonts w:ascii="Cambria Math"/>
                      </w:rPr>
                      <m:t>O</m:t>
                    </m:r>
                  </m:e>
                  <m:sub>
                    <m:r>
                      <w:rPr>
                        <w:rFonts w:ascii="Cambria Math"/>
                      </w:rPr>
                      <m:t>2</m:t>
                    </m:r>
                  </m:sub>
                </m:sSub>
                <m:r>
                  <w:rPr>
                    <w:rFonts w:ascii="MS Mincho" w:eastAsia="MS Mincho" w:hAnsi="MS Mincho" w:cs="MS Mincho" w:hint="eastAsia"/>
                  </w:rPr>
                  <m:t>⇌</m:t>
                </m:r>
                <m:sSub>
                  <m:sSubPr>
                    <m:ctrlPr>
                      <w:rPr>
                        <w:rFonts w:ascii="Cambria Math" w:hAnsi="Cambria Math"/>
                        <w:i/>
                      </w:rPr>
                    </m:ctrlPr>
                  </m:sSubPr>
                  <m:e>
                    <m:r>
                      <w:rPr>
                        <w:rFonts w:ascii="Cambria Math"/>
                      </w:rPr>
                      <m:t>H</m:t>
                    </m:r>
                  </m:e>
                  <m:sub>
                    <m:r>
                      <w:rPr>
                        <w:rFonts w:ascii="Cambria Math"/>
                      </w:rPr>
                      <m:t>3</m:t>
                    </m:r>
                  </m:sub>
                </m:sSub>
                <m:sSup>
                  <m:sSupPr>
                    <m:ctrlPr>
                      <w:rPr>
                        <w:rFonts w:ascii="Cambria Math" w:hAnsi="Cambria Math"/>
                        <w:i/>
                      </w:rPr>
                    </m:ctrlPr>
                  </m:sSupPr>
                  <m:e>
                    <m:r>
                      <w:rPr>
                        <w:rFonts w:ascii="Cambria Math"/>
                      </w:rPr>
                      <m:t>O</m:t>
                    </m:r>
                  </m:e>
                  <m:sup>
                    <m:r>
                      <w:rPr>
                        <w:rFonts w:ascii="Cambria Math"/>
                      </w:rPr>
                      <m:t>+</m:t>
                    </m:r>
                  </m:sup>
                </m:sSup>
                <m:r>
                  <w:rPr>
                    <w:rFonts w:ascii="Cambria Math"/>
                  </w:rPr>
                  <m:t>+HC</m:t>
                </m:r>
                <m:sSup>
                  <m:sSupPr>
                    <m:ctrlPr>
                      <w:rPr>
                        <w:rFonts w:ascii="Cambria Math" w:hAnsi="Cambria Math"/>
                        <w:i/>
                      </w:rPr>
                    </m:ctrlPr>
                  </m:sSupPr>
                  <m:e>
                    <m:sSub>
                      <m:sSubPr>
                        <m:ctrlPr>
                          <w:rPr>
                            <w:rFonts w:ascii="Cambria Math" w:hAnsi="Cambria Math"/>
                            <w:i/>
                          </w:rPr>
                        </m:ctrlPr>
                      </m:sSubPr>
                      <m:e>
                        <m:r>
                          <w:rPr>
                            <w:rFonts w:ascii="Cambria Math"/>
                          </w:rPr>
                          <m:t>O</m:t>
                        </m:r>
                      </m:e>
                      <m:sub>
                        <m:r>
                          <w:rPr>
                            <w:rFonts w:ascii="Cambria Math"/>
                          </w:rPr>
                          <m:t>3</m:t>
                        </m:r>
                      </m:sub>
                    </m:sSub>
                  </m:e>
                  <m:sup>
                    <m:r>
                      <w:rPr>
                        <w:rFonts w:ascii="Cambria Math"/>
                      </w:rPr>
                      <m:t>-</m:t>
                    </m:r>
                  </m:sup>
                </m:sSup>
              </m:oMath>
            </m:oMathPara>
          </w:p>
        </w:tc>
        <w:tc>
          <w:tcPr>
            <w:tcW w:w="806" w:type="dxa"/>
            <w:shd w:val="clear" w:color="auto" w:fill="auto"/>
            <w:vAlign w:val="center"/>
          </w:tcPr>
          <w:p w14:paraId="60AF77E6" w14:textId="73E62FDC" w:rsidR="003E3C3D" w:rsidRPr="00B57B36" w:rsidRDefault="003E3C3D" w:rsidP="00A630C3">
            <w:pPr>
              <w:pStyle w:val="CETEquation"/>
              <w:spacing w:before="0" w:after="0" w:line="240" w:lineRule="auto"/>
              <w:jc w:val="right"/>
            </w:pPr>
            <w:r w:rsidRPr="00B57B36">
              <w:t>(</w:t>
            </w:r>
            <w:r>
              <w:t>2</w:t>
            </w:r>
            <w:r w:rsidRPr="00B57B36">
              <w:t>)</w:t>
            </w:r>
          </w:p>
        </w:tc>
      </w:tr>
      <w:tr w:rsidR="003E3C3D" w:rsidRPr="00B57B36" w14:paraId="6F87C8BC" w14:textId="77777777" w:rsidTr="00411567">
        <w:tc>
          <w:tcPr>
            <w:tcW w:w="7981" w:type="dxa"/>
            <w:shd w:val="clear" w:color="auto" w:fill="auto"/>
            <w:vAlign w:val="center"/>
          </w:tcPr>
          <w:p w14:paraId="782F3F94" w14:textId="65F02457" w:rsidR="003E3C3D" w:rsidRPr="00B57B36" w:rsidRDefault="00546FAC" w:rsidP="00546FAC">
            <w:pPr>
              <w:pStyle w:val="CETEquation"/>
              <w:spacing w:before="0" w:after="0" w:line="240" w:lineRule="auto"/>
            </w:pPr>
            <m:oMathPara>
              <m:oMath>
                <m:r>
                  <w:rPr>
                    <w:rFonts w:ascii="Cambria Math"/>
                  </w:rPr>
                  <m:t>HC</m:t>
                </m:r>
                <m:sSubSup>
                  <m:sSubSupPr>
                    <m:ctrlPr>
                      <w:rPr>
                        <w:rFonts w:ascii="Cambria Math" w:hAnsi="Cambria Math"/>
                        <w:i/>
                      </w:rPr>
                    </m:ctrlPr>
                  </m:sSubSupPr>
                  <m:e>
                    <m:r>
                      <w:rPr>
                        <w:rFonts w:ascii="Cambria Math"/>
                      </w:rPr>
                      <m:t>O</m:t>
                    </m:r>
                  </m:e>
                  <m:sub>
                    <m:r>
                      <w:rPr>
                        <w:rFonts w:ascii="Cambria Math"/>
                      </w:rPr>
                      <m:t>3</m:t>
                    </m:r>
                  </m:sub>
                  <m:sup>
                    <m:r>
                      <w:rPr>
                        <w:rFonts w:ascii="Cambria Math"/>
                      </w:rPr>
                      <m:t>-</m:t>
                    </m:r>
                  </m:sup>
                </m:sSubSup>
                <m:r>
                  <w:rPr>
                    <w:rFonts w:ascii="Cambria Math"/>
                  </w:rPr>
                  <m:t>+</m:t>
                </m:r>
                <m:sSub>
                  <m:sSubPr>
                    <m:ctrlPr>
                      <w:rPr>
                        <w:rFonts w:ascii="Cambria Math" w:hAnsi="Cambria Math"/>
                        <w:i/>
                      </w:rPr>
                    </m:ctrlPr>
                  </m:sSubPr>
                  <m:e>
                    <m:r>
                      <w:rPr>
                        <w:rFonts w:ascii="Cambria Math"/>
                      </w:rPr>
                      <m:t>H</m:t>
                    </m:r>
                  </m:e>
                  <m:sub>
                    <m:r>
                      <w:rPr>
                        <w:rFonts w:ascii="Cambria Math"/>
                      </w:rPr>
                      <m:t>2</m:t>
                    </m:r>
                  </m:sub>
                </m:sSub>
                <m:r>
                  <w:rPr>
                    <w:rFonts w:ascii="Cambria Math"/>
                  </w:rPr>
                  <m:t>O</m:t>
                </m:r>
                <m:r>
                  <w:rPr>
                    <w:rFonts w:ascii="MS Mincho" w:eastAsia="MS Mincho" w:hAnsi="MS Mincho" w:cs="MS Mincho" w:hint="eastAsia"/>
                  </w:rPr>
                  <m:t>⇌</m:t>
                </m:r>
                <m:sSub>
                  <m:sSubPr>
                    <m:ctrlPr>
                      <w:rPr>
                        <w:rFonts w:ascii="Cambria Math" w:hAnsi="Cambria Math"/>
                        <w:i/>
                      </w:rPr>
                    </m:ctrlPr>
                  </m:sSubPr>
                  <m:e>
                    <m:r>
                      <w:rPr>
                        <w:rFonts w:ascii="Cambria Math"/>
                      </w:rPr>
                      <m:t>H</m:t>
                    </m:r>
                  </m:e>
                  <m:sub>
                    <m:r>
                      <w:rPr>
                        <w:rFonts w:ascii="Cambria Math"/>
                      </w:rPr>
                      <m:t>3</m:t>
                    </m:r>
                  </m:sub>
                </m:sSub>
                <m:sSup>
                  <m:sSupPr>
                    <m:ctrlPr>
                      <w:rPr>
                        <w:rFonts w:ascii="Cambria Math" w:hAnsi="Cambria Math"/>
                        <w:i/>
                      </w:rPr>
                    </m:ctrlPr>
                  </m:sSupPr>
                  <m:e>
                    <m:r>
                      <w:rPr>
                        <w:rFonts w:ascii="Cambria Math"/>
                      </w:rPr>
                      <m:t>O</m:t>
                    </m:r>
                  </m:e>
                  <m:sup>
                    <m:r>
                      <w:rPr>
                        <w:rFonts w:ascii="Cambria Math"/>
                      </w:rPr>
                      <m:t>+</m:t>
                    </m:r>
                  </m:sup>
                </m:sSup>
                <m:r>
                  <w:rPr>
                    <w:rFonts w:ascii="Cambria Math"/>
                  </w:rPr>
                  <m:t>+C</m:t>
                </m:r>
                <m:sSubSup>
                  <m:sSubSupPr>
                    <m:ctrlPr>
                      <w:rPr>
                        <w:rFonts w:ascii="Cambria Math" w:hAnsi="Cambria Math"/>
                        <w:i/>
                      </w:rPr>
                    </m:ctrlPr>
                  </m:sSubSupPr>
                  <m:e>
                    <m:r>
                      <w:rPr>
                        <w:rFonts w:ascii="Cambria Math"/>
                      </w:rPr>
                      <m:t>O</m:t>
                    </m:r>
                  </m:e>
                  <m:sub>
                    <m:r>
                      <w:rPr>
                        <w:rFonts w:ascii="Cambria Math"/>
                      </w:rPr>
                      <m:t>3</m:t>
                    </m:r>
                  </m:sub>
                  <m:sup>
                    <m:r>
                      <w:rPr>
                        <w:rFonts w:ascii="Cambria Math"/>
                      </w:rPr>
                      <m:t>2</m:t>
                    </m:r>
                    <m:r>
                      <w:rPr>
                        <w:rFonts w:ascii="Cambria Math"/>
                      </w:rPr>
                      <m:t>-</m:t>
                    </m:r>
                  </m:sup>
                </m:sSubSup>
              </m:oMath>
            </m:oMathPara>
          </w:p>
        </w:tc>
        <w:tc>
          <w:tcPr>
            <w:tcW w:w="806" w:type="dxa"/>
            <w:shd w:val="clear" w:color="auto" w:fill="auto"/>
            <w:vAlign w:val="center"/>
          </w:tcPr>
          <w:p w14:paraId="47A712C4" w14:textId="4C5F1AB0" w:rsidR="003E3C3D" w:rsidRPr="00B57B36" w:rsidRDefault="003E3C3D" w:rsidP="00A630C3">
            <w:pPr>
              <w:pStyle w:val="CETEquation"/>
              <w:spacing w:before="0" w:after="0" w:line="240" w:lineRule="auto"/>
              <w:jc w:val="right"/>
            </w:pPr>
            <w:r w:rsidRPr="00B57B36">
              <w:t>(</w:t>
            </w:r>
            <w:r>
              <w:t>3</w:t>
            </w:r>
            <w:r w:rsidRPr="00B57B36">
              <w:t>)</w:t>
            </w:r>
          </w:p>
        </w:tc>
      </w:tr>
      <w:tr w:rsidR="003E3C3D" w:rsidRPr="00B57B36" w14:paraId="32B6177C" w14:textId="77777777" w:rsidTr="00411567">
        <w:tc>
          <w:tcPr>
            <w:tcW w:w="7981" w:type="dxa"/>
            <w:shd w:val="clear" w:color="auto" w:fill="auto"/>
            <w:vAlign w:val="center"/>
          </w:tcPr>
          <w:p w14:paraId="54F331F7" w14:textId="36CEF00C" w:rsidR="003E3C3D" w:rsidRPr="00B57B36" w:rsidRDefault="00546FAC" w:rsidP="00546FAC">
            <w:pPr>
              <w:pStyle w:val="CETEquation"/>
              <w:spacing w:before="0" w:after="0" w:line="240" w:lineRule="auto"/>
            </w:pPr>
            <m:oMathPara>
              <m:oMath>
                <m:r>
                  <w:rPr>
                    <w:rFonts w:ascii="Cambria Math"/>
                  </w:rPr>
                  <m:t>AP</m:t>
                </m:r>
                <m:sSup>
                  <m:sSupPr>
                    <m:ctrlPr>
                      <w:rPr>
                        <w:rFonts w:ascii="Cambria Math" w:hAnsi="Cambria Math"/>
                        <w:i/>
                      </w:rPr>
                    </m:ctrlPr>
                  </m:sSupPr>
                  <m:e>
                    <m:r>
                      <w:rPr>
                        <w:rFonts w:ascii="Cambria Math"/>
                      </w:rPr>
                      <m:t>H</m:t>
                    </m:r>
                  </m:e>
                  <m:sup>
                    <m:r>
                      <w:rPr>
                        <w:rFonts w:ascii="Cambria Math"/>
                      </w:rPr>
                      <m:t>+</m:t>
                    </m:r>
                  </m:sup>
                </m:sSup>
                <m:r>
                  <w:rPr>
                    <w:rFonts w:ascii="Cambria Math"/>
                  </w:rPr>
                  <m:t>+</m:t>
                </m:r>
                <m:sSub>
                  <m:sSubPr>
                    <m:ctrlPr>
                      <w:rPr>
                        <w:rFonts w:ascii="Cambria Math" w:hAnsi="Cambria Math"/>
                        <w:i/>
                      </w:rPr>
                    </m:ctrlPr>
                  </m:sSubPr>
                  <m:e>
                    <m:r>
                      <w:rPr>
                        <w:rFonts w:ascii="Cambria Math"/>
                      </w:rPr>
                      <m:t>H</m:t>
                    </m:r>
                  </m:e>
                  <m:sub>
                    <m:r>
                      <w:rPr>
                        <w:rFonts w:ascii="Cambria Math"/>
                      </w:rPr>
                      <m:t>2</m:t>
                    </m:r>
                  </m:sub>
                </m:sSub>
                <m:r>
                  <w:rPr>
                    <w:rFonts w:ascii="Cambria Math"/>
                  </w:rPr>
                  <m:t>O</m:t>
                </m:r>
                <m:r>
                  <w:rPr>
                    <w:rFonts w:ascii="MS Mincho" w:eastAsia="MS Mincho" w:hAnsi="MS Mincho" w:cs="MS Mincho" w:hint="eastAsia"/>
                  </w:rPr>
                  <m:t>⇌</m:t>
                </m:r>
                <m:r>
                  <w:rPr>
                    <w:rFonts w:ascii="Cambria Math"/>
                  </w:rPr>
                  <m:t>AP+</m:t>
                </m:r>
                <m:sSub>
                  <m:sSubPr>
                    <m:ctrlPr>
                      <w:rPr>
                        <w:rFonts w:ascii="Cambria Math" w:hAnsi="Cambria Math"/>
                        <w:i/>
                      </w:rPr>
                    </m:ctrlPr>
                  </m:sSubPr>
                  <m:e>
                    <m:r>
                      <w:rPr>
                        <w:rFonts w:ascii="Cambria Math"/>
                      </w:rPr>
                      <m:t>H</m:t>
                    </m:r>
                  </m:e>
                  <m:sub>
                    <m:r>
                      <w:rPr>
                        <w:rFonts w:ascii="Cambria Math"/>
                      </w:rPr>
                      <m:t>3</m:t>
                    </m:r>
                  </m:sub>
                </m:sSub>
                <m:sSup>
                  <m:sSupPr>
                    <m:ctrlPr>
                      <w:rPr>
                        <w:rFonts w:ascii="Cambria Math" w:hAnsi="Cambria Math"/>
                        <w:i/>
                      </w:rPr>
                    </m:ctrlPr>
                  </m:sSupPr>
                  <m:e>
                    <m:r>
                      <w:rPr>
                        <w:rFonts w:ascii="Cambria Math"/>
                      </w:rPr>
                      <m:t>O</m:t>
                    </m:r>
                  </m:e>
                  <m:sup>
                    <m:r>
                      <w:rPr>
                        <w:rFonts w:ascii="Cambria Math"/>
                      </w:rPr>
                      <m:t>+</m:t>
                    </m:r>
                  </m:sup>
                </m:sSup>
              </m:oMath>
            </m:oMathPara>
          </w:p>
        </w:tc>
        <w:tc>
          <w:tcPr>
            <w:tcW w:w="806" w:type="dxa"/>
            <w:shd w:val="clear" w:color="auto" w:fill="auto"/>
            <w:vAlign w:val="center"/>
          </w:tcPr>
          <w:p w14:paraId="10D0BB82" w14:textId="5F13D393" w:rsidR="003E3C3D" w:rsidRPr="00B57B36" w:rsidRDefault="003E3C3D" w:rsidP="00A630C3">
            <w:pPr>
              <w:pStyle w:val="CETEquation"/>
              <w:spacing w:before="0" w:after="0" w:line="240" w:lineRule="auto"/>
              <w:jc w:val="right"/>
            </w:pPr>
            <w:r w:rsidRPr="00B57B36">
              <w:t>(</w:t>
            </w:r>
            <w:r>
              <w:t>4</w:t>
            </w:r>
            <w:r w:rsidRPr="00B57B36">
              <w:t>)</w:t>
            </w:r>
          </w:p>
        </w:tc>
      </w:tr>
      <w:tr w:rsidR="003E3C3D" w:rsidRPr="00B57B36" w14:paraId="78F5F368" w14:textId="77777777" w:rsidTr="00411567">
        <w:tc>
          <w:tcPr>
            <w:tcW w:w="7981" w:type="dxa"/>
            <w:shd w:val="clear" w:color="auto" w:fill="auto"/>
            <w:vAlign w:val="center"/>
          </w:tcPr>
          <w:p w14:paraId="748E6F49" w14:textId="7CA1F7AA" w:rsidR="003E3C3D" w:rsidRPr="00B57B36" w:rsidRDefault="00546FAC" w:rsidP="00546FAC">
            <w:pPr>
              <w:pStyle w:val="CETEquation"/>
              <w:spacing w:before="0" w:after="0" w:line="240" w:lineRule="auto"/>
            </w:pPr>
            <m:oMathPara>
              <m:oMath>
                <m:r>
                  <w:rPr>
                    <w:rFonts w:ascii="Cambria Math"/>
                  </w:rPr>
                  <m:t>APCO</m:t>
                </m:r>
                <m:sSup>
                  <m:sSupPr>
                    <m:ctrlPr>
                      <w:rPr>
                        <w:rFonts w:ascii="Cambria Math" w:hAnsi="Cambria Math"/>
                        <w:i/>
                      </w:rPr>
                    </m:ctrlPr>
                  </m:sSupPr>
                  <m:e>
                    <m:r>
                      <w:rPr>
                        <w:rFonts w:ascii="Cambria Math"/>
                      </w:rPr>
                      <m:t>O</m:t>
                    </m:r>
                  </m:e>
                  <m:sup>
                    <m:r>
                      <w:rPr>
                        <w:rFonts w:ascii="Cambria Math"/>
                      </w:rPr>
                      <m:t>-</m:t>
                    </m:r>
                  </m:sup>
                </m:sSup>
                <m:r>
                  <w:rPr>
                    <w:rFonts w:ascii="Cambria Math"/>
                  </w:rPr>
                  <m:t>+</m:t>
                </m:r>
                <m:sSub>
                  <m:sSubPr>
                    <m:ctrlPr>
                      <w:rPr>
                        <w:rFonts w:ascii="Cambria Math" w:hAnsi="Cambria Math"/>
                        <w:i/>
                      </w:rPr>
                    </m:ctrlPr>
                  </m:sSubPr>
                  <m:e>
                    <m:r>
                      <w:rPr>
                        <w:rFonts w:ascii="Cambria Math"/>
                      </w:rPr>
                      <m:t>H</m:t>
                    </m:r>
                  </m:e>
                  <m:sub>
                    <m:r>
                      <w:rPr>
                        <w:rFonts w:ascii="Cambria Math"/>
                      </w:rPr>
                      <m:t>2</m:t>
                    </m:r>
                  </m:sub>
                </m:sSub>
                <m:r>
                  <w:rPr>
                    <w:rFonts w:ascii="Cambria Math"/>
                  </w:rPr>
                  <m:t>O</m:t>
                </m:r>
                <m:r>
                  <w:rPr>
                    <w:rFonts w:ascii="MS Mincho" w:eastAsia="MS Mincho" w:hAnsi="MS Mincho" w:cs="MS Mincho" w:hint="eastAsia"/>
                  </w:rPr>
                  <m:t>⇌</m:t>
                </m:r>
                <m:r>
                  <w:rPr>
                    <w:rFonts w:ascii="Cambria Math"/>
                  </w:rPr>
                  <m:t>AP+HC</m:t>
                </m:r>
                <m:sSup>
                  <m:sSupPr>
                    <m:ctrlPr>
                      <w:rPr>
                        <w:rFonts w:ascii="Cambria Math" w:hAnsi="Cambria Math"/>
                        <w:i/>
                      </w:rPr>
                    </m:ctrlPr>
                  </m:sSupPr>
                  <m:e>
                    <m:sSub>
                      <m:sSubPr>
                        <m:ctrlPr>
                          <w:rPr>
                            <w:rFonts w:ascii="Cambria Math" w:hAnsi="Cambria Math"/>
                            <w:i/>
                          </w:rPr>
                        </m:ctrlPr>
                      </m:sSubPr>
                      <m:e>
                        <m:r>
                          <w:rPr>
                            <w:rFonts w:ascii="Cambria Math"/>
                          </w:rPr>
                          <m:t>O</m:t>
                        </m:r>
                      </m:e>
                      <m:sub>
                        <m:r>
                          <w:rPr>
                            <w:rFonts w:ascii="Cambria Math"/>
                          </w:rPr>
                          <m:t>3</m:t>
                        </m:r>
                      </m:sub>
                    </m:sSub>
                  </m:e>
                  <m:sup>
                    <m:r>
                      <w:rPr>
                        <w:rFonts w:ascii="Cambria Math"/>
                      </w:rPr>
                      <m:t>-</m:t>
                    </m:r>
                  </m:sup>
                </m:sSup>
              </m:oMath>
            </m:oMathPara>
          </w:p>
        </w:tc>
        <w:tc>
          <w:tcPr>
            <w:tcW w:w="806" w:type="dxa"/>
            <w:shd w:val="clear" w:color="auto" w:fill="auto"/>
            <w:vAlign w:val="center"/>
          </w:tcPr>
          <w:p w14:paraId="17502707" w14:textId="5BB0367C" w:rsidR="003E3C3D" w:rsidRPr="00B57B36" w:rsidRDefault="003E3C3D" w:rsidP="00A630C3">
            <w:pPr>
              <w:pStyle w:val="CETEquation"/>
              <w:spacing w:before="0" w:after="0" w:line="240" w:lineRule="auto"/>
              <w:jc w:val="right"/>
            </w:pPr>
            <w:r w:rsidRPr="00B57B36">
              <w:t>(</w:t>
            </w:r>
            <w:r>
              <w:t>5</w:t>
            </w:r>
            <w:r w:rsidRPr="00B57B36">
              <w:t>)</w:t>
            </w:r>
          </w:p>
        </w:tc>
      </w:tr>
      <w:tr w:rsidR="003E3C3D" w:rsidRPr="00B57B36" w14:paraId="275A1A90" w14:textId="77777777" w:rsidTr="00411567">
        <w:tc>
          <w:tcPr>
            <w:tcW w:w="7981" w:type="dxa"/>
            <w:shd w:val="clear" w:color="auto" w:fill="auto"/>
            <w:vAlign w:val="center"/>
          </w:tcPr>
          <w:p w14:paraId="351E9126" w14:textId="1B4AF2FB" w:rsidR="003E3C3D" w:rsidRPr="00B57B36" w:rsidRDefault="00546FAC" w:rsidP="00546FAC">
            <w:pPr>
              <w:pStyle w:val="CETEquation"/>
              <w:spacing w:before="0" w:after="0" w:line="240" w:lineRule="auto"/>
            </w:pPr>
            <m:oMathPara>
              <m:oMath>
                <m:r>
                  <w:rPr>
                    <w:rFonts w:ascii="Cambria Math"/>
                  </w:rPr>
                  <m:t>PRLD</m:t>
                </m:r>
                <m:sSup>
                  <m:sSupPr>
                    <m:ctrlPr>
                      <w:rPr>
                        <w:rFonts w:ascii="Cambria Math" w:hAnsi="Cambria Math"/>
                        <w:i/>
                      </w:rPr>
                    </m:ctrlPr>
                  </m:sSupPr>
                  <m:e>
                    <m:r>
                      <w:rPr>
                        <w:rFonts w:ascii="Cambria Math"/>
                      </w:rPr>
                      <m:t>H</m:t>
                    </m:r>
                  </m:e>
                  <m:sup>
                    <m:r>
                      <w:rPr>
                        <w:rFonts w:ascii="Cambria Math"/>
                      </w:rPr>
                      <m:t>+</m:t>
                    </m:r>
                  </m:sup>
                </m:sSup>
                <m:r>
                  <w:rPr>
                    <w:rFonts w:ascii="Cambria Math"/>
                  </w:rPr>
                  <m:t>+</m:t>
                </m:r>
                <m:sSub>
                  <m:sSubPr>
                    <m:ctrlPr>
                      <w:rPr>
                        <w:rFonts w:ascii="Cambria Math" w:hAnsi="Cambria Math"/>
                        <w:i/>
                      </w:rPr>
                    </m:ctrlPr>
                  </m:sSubPr>
                  <m:e>
                    <m:r>
                      <w:rPr>
                        <w:rFonts w:ascii="Cambria Math"/>
                      </w:rPr>
                      <m:t>H</m:t>
                    </m:r>
                  </m:e>
                  <m:sub>
                    <m:r>
                      <w:rPr>
                        <w:rFonts w:ascii="Cambria Math"/>
                      </w:rPr>
                      <m:t>2</m:t>
                    </m:r>
                  </m:sub>
                </m:sSub>
                <m:r>
                  <w:rPr>
                    <w:rFonts w:ascii="Cambria Math"/>
                  </w:rPr>
                  <m:t>O</m:t>
                </m:r>
                <m:r>
                  <w:rPr>
                    <w:rFonts w:ascii="MS Mincho" w:eastAsia="MS Mincho" w:hAnsi="MS Mincho" w:cs="MS Mincho" w:hint="eastAsia"/>
                  </w:rPr>
                  <m:t>⇌</m:t>
                </m:r>
                <m:r>
                  <w:rPr>
                    <w:rFonts w:ascii="Cambria Math"/>
                  </w:rPr>
                  <m:t>PRLD+</m:t>
                </m:r>
                <m:sSub>
                  <m:sSubPr>
                    <m:ctrlPr>
                      <w:rPr>
                        <w:rFonts w:ascii="Cambria Math" w:hAnsi="Cambria Math"/>
                        <w:i/>
                      </w:rPr>
                    </m:ctrlPr>
                  </m:sSubPr>
                  <m:e>
                    <m:r>
                      <w:rPr>
                        <w:rFonts w:ascii="Cambria Math"/>
                      </w:rPr>
                      <m:t>H</m:t>
                    </m:r>
                  </m:e>
                  <m:sub>
                    <m:r>
                      <w:rPr>
                        <w:rFonts w:ascii="Cambria Math"/>
                      </w:rPr>
                      <m:t>3</m:t>
                    </m:r>
                  </m:sub>
                </m:sSub>
                <m:sSup>
                  <m:sSupPr>
                    <m:ctrlPr>
                      <w:rPr>
                        <w:rFonts w:ascii="Cambria Math" w:hAnsi="Cambria Math"/>
                        <w:i/>
                      </w:rPr>
                    </m:ctrlPr>
                  </m:sSupPr>
                  <m:e>
                    <m:r>
                      <w:rPr>
                        <w:rFonts w:ascii="Cambria Math"/>
                      </w:rPr>
                      <m:t>O</m:t>
                    </m:r>
                  </m:e>
                  <m:sup>
                    <m:r>
                      <w:rPr>
                        <w:rFonts w:ascii="Cambria Math"/>
                      </w:rPr>
                      <m:t>+</m:t>
                    </m:r>
                  </m:sup>
                </m:sSup>
              </m:oMath>
            </m:oMathPara>
          </w:p>
        </w:tc>
        <w:tc>
          <w:tcPr>
            <w:tcW w:w="806" w:type="dxa"/>
            <w:shd w:val="clear" w:color="auto" w:fill="auto"/>
            <w:vAlign w:val="center"/>
          </w:tcPr>
          <w:p w14:paraId="70B33DE3" w14:textId="029B8A4F" w:rsidR="003E3C3D" w:rsidRPr="00B57B36" w:rsidRDefault="003E3C3D" w:rsidP="00A630C3">
            <w:pPr>
              <w:pStyle w:val="CETEquation"/>
              <w:spacing w:before="0" w:after="0" w:line="240" w:lineRule="auto"/>
              <w:jc w:val="right"/>
            </w:pPr>
            <w:r w:rsidRPr="00B57B36">
              <w:t>(</w:t>
            </w:r>
            <w:r>
              <w:t>6</w:t>
            </w:r>
            <w:r w:rsidRPr="00B57B36">
              <w:t>)</w:t>
            </w:r>
          </w:p>
        </w:tc>
      </w:tr>
      <w:tr w:rsidR="003E3C3D" w:rsidRPr="00B57B36" w14:paraId="271D2D94" w14:textId="77777777" w:rsidTr="00411567">
        <w:tc>
          <w:tcPr>
            <w:tcW w:w="7981" w:type="dxa"/>
            <w:shd w:val="clear" w:color="auto" w:fill="auto"/>
            <w:vAlign w:val="center"/>
          </w:tcPr>
          <w:p w14:paraId="4241EBEC" w14:textId="3D305028" w:rsidR="003E3C3D" w:rsidRPr="00B57B36" w:rsidRDefault="00000000" w:rsidP="00546FAC">
            <w:pPr>
              <w:pStyle w:val="CETEquation"/>
              <w:spacing w:line="240" w:lineRule="auto"/>
            </w:pPr>
            <m:oMathPara>
              <m:oMath>
                <m:func>
                  <m:funcPr>
                    <m:ctrlPr>
                      <w:rPr>
                        <w:rFonts w:ascii="Cambria Math" w:hAnsi="Cambria Math"/>
                        <w:i/>
                      </w:rPr>
                    </m:ctrlPr>
                  </m:funcPr>
                  <m:fName>
                    <m:r>
                      <w:rPr>
                        <w:rFonts w:ascii="Cambria Math"/>
                      </w:rPr>
                      <m:t>ln</m:t>
                    </m:r>
                  </m:fName>
                  <m:e>
                    <m:sSub>
                      <m:sSubPr>
                        <m:ctrlPr>
                          <w:rPr>
                            <w:rFonts w:ascii="Cambria Math" w:hAnsi="Cambria Math"/>
                            <w:i/>
                          </w:rPr>
                        </m:ctrlPr>
                      </m:sSubPr>
                      <m:e>
                        <m:r>
                          <w:rPr>
                            <w:rFonts w:ascii="Cambria Math"/>
                          </w:rPr>
                          <m:t>k</m:t>
                        </m:r>
                      </m:e>
                      <m:sub>
                        <m:r>
                          <w:rPr>
                            <w:rFonts w:ascii="Cambria Math"/>
                          </w:rPr>
                          <m:t>eq</m:t>
                        </m:r>
                      </m:sub>
                    </m:sSub>
                  </m:e>
                </m:func>
                <m:r>
                  <w:rPr>
                    <w:rFonts w:ascii="Cambria Math"/>
                  </w:rPr>
                  <m:t>=A+</m:t>
                </m:r>
                <m:f>
                  <m:fPr>
                    <m:ctrlPr>
                      <w:rPr>
                        <w:rFonts w:ascii="Cambria Math" w:hAnsi="Cambria Math"/>
                        <w:i/>
                      </w:rPr>
                    </m:ctrlPr>
                  </m:fPr>
                  <m:num>
                    <m:r>
                      <w:rPr>
                        <w:rFonts w:ascii="Cambria Math"/>
                      </w:rPr>
                      <m:t>B</m:t>
                    </m:r>
                  </m:num>
                  <m:den>
                    <m:r>
                      <w:rPr>
                        <w:rFonts w:ascii="Cambria Math"/>
                      </w:rPr>
                      <m:t>T</m:t>
                    </m:r>
                  </m:den>
                </m:f>
                <m:r>
                  <w:rPr>
                    <w:rFonts w:ascii="Cambria Math"/>
                  </w:rPr>
                  <m:t>+C</m:t>
                </m:r>
                <m:r>
                  <w:rPr>
                    <w:rFonts w:ascii="MS Mincho" w:eastAsia="MS Mincho" w:hAnsi="MS Mincho" w:cs="MS Mincho" w:hint="eastAsia"/>
                  </w:rPr>
                  <m:t>⋅</m:t>
                </m:r>
                <m:func>
                  <m:funcPr>
                    <m:ctrlPr>
                      <w:rPr>
                        <w:rFonts w:ascii="Cambria Math" w:hAnsi="Cambria Math"/>
                        <w:i/>
                      </w:rPr>
                    </m:ctrlPr>
                  </m:funcPr>
                  <m:fName>
                    <m:r>
                      <w:rPr>
                        <w:rFonts w:ascii="Cambria Math"/>
                      </w:rPr>
                      <m:t>ln</m:t>
                    </m:r>
                  </m:fName>
                  <m:e>
                    <m:r>
                      <w:rPr>
                        <w:rFonts w:ascii="Cambria Math"/>
                      </w:rPr>
                      <m:t>(</m:t>
                    </m:r>
                  </m:e>
                </m:func>
                <m:r>
                  <w:rPr>
                    <w:rFonts w:ascii="Cambria Math"/>
                  </w:rPr>
                  <m:t>T)</m:t>
                </m:r>
              </m:oMath>
            </m:oMathPara>
          </w:p>
        </w:tc>
        <w:tc>
          <w:tcPr>
            <w:tcW w:w="806" w:type="dxa"/>
            <w:shd w:val="clear" w:color="auto" w:fill="auto"/>
            <w:vAlign w:val="center"/>
          </w:tcPr>
          <w:p w14:paraId="76048988" w14:textId="7B318130" w:rsidR="003E3C3D" w:rsidRPr="00B57B36" w:rsidRDefault="003E3C3D" w:rsidP="003E3C3D">
            <w:pPr>
              <w:pStyle w:val="CETEquation"/>
              <w:jc w:val="right"/>
            </w:pPr>
            <w:r w:rsidRPr="00B57B36">
              <w:t>(</w:t>
            </w:r>
            <w:r>
              <w:t>7</w:t>
            </w:r>
            <w:r w:rsidRPr="00B57B36">
              <w:t>)</w:t>
            </w:r>
          </w:p>
        </w:tc>
      </w:tr>
    </w:tbl>
    <w:p w14:paraId="3685DD57" w14:textId="04B27B56" w:rsidR="003E3C3D" w:rsidRPr="00B57B36" w:rsidRDefault="003E3C3D" w:rsidP="003E3C3D">
      <w:pPr>
        <w:pStyle w:val="CETTabletitle"/>
      </w:pPr>
      <w:r w:rsidRPr="00B57B36">
        <w:t xml:space="preserve">Table 1: </w:t>
      </w:r>
      <w:r w:rsidR="00BC1527">
        <w:t xml:space="preserve">Molar fraction-based equilibrium constants for the chemical equilibrium </w:t>
      </w:r>
      <w:r w:rsidR="00F87944">
        <w:t>for the</w:t>
      </w:r>
      <w:r w:rsidR="00BC1527">
        <w:t xml:space="preserve"> HS3 blend. Sources: [1] Posey and Rochelle, 1997; [2] Dong et al., 2010; [3] Li et al., 2017.</w:t>
      </w:r>
    </w:p>
    <w:tbl>
      <w:tblPr>
        <w:tblW w:w="862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64"/>
        <w:gridCol w:w="1276"/>
        <w:gridCol w:w="1276"/>
        <w:gridCol w:w="1276"/>
        <w:gridCol w:w="1276"/>
        <w:gridCol w:w="1276"/>
        <w:gridCol w:w="1276"/>
      </w:tblGrid>
      <w:tr w:rsidR="00BC1527" w:rsidRPr="00B57B36" w14:paraId="03DB0D9C" w14:textId="39976FA8" w:rsidTr="00672F99">
        <w:tc>
          <w:tcPr>
            <w:tcW w:w="964" w:type="dxa"/>
            <w:tcBorders>
              <w:top w:val="single" w:sz="12" w:space="0" w:color="008000"/>
              <w:bottom w:val="single" w:sz="6" w:space="0" w:color="008000"/>
            </w:tcBorders>
            <w:shd w:val="clear" w:color="auto" w:fill="FFFFFF"/>
          </w:tcPr>
          <w:p w14:paraId="48891391" w14:textId="112D00C1" w:rsidR="00BC1527" w:rsidRPr="00B57B36" w:rsidRDefault="00BC1527" w:rsidP="008A70EC">
            <w:pPr>
              <w:pStyle w:val="CETBodytext"/>
              <w:rPr>
                <w:lang w:val="en-GB"/>
              </w:rPr>
            </w:pPr>
          </w:p>
        </w:tc>
        <w:tc>
          <w:tcPr>
            <w:tcW w:w="1276" w:type="dxa"/>
            <w:tcBorders>
              <w:top w:val="single" w:sz="12" w:space="0" w:color="008000"/>
              <w:bottom w:val="single" w:sz="6" w:space="0" w:color="008000"/>
            </w:tcBorders>
            <w:shd w:val="clear" w:color="auto" w:fill="FFFFFF"/>
          </w:tcPr>
          <w:p w14:paraId="4DC08E06" w14:textId="58C05EA9" w:rsidR="00BC1527" w:rsidRPr="00B57B36" w:rsidRDefault="00BC1527" w:rsidP="008A70EC">
            <w:pPr>
              <w:pStyle w:val="CETBodytext"/>
              <w:rPr>
                <w:lang w:val="en-GB"/>
              </w:rPr>
            </w:pPr>
            <w:r>
              <w:rPr>
                <w:lang w:val="en-GB"/>
              </w:rPr>
              <w:t>Reaction (1)</w:t>
            </w:r>
          </w:p>
        </w:tc>
        <w:tc>
          <w:tcPr>
            <w:tcW w:w="1276" w:type="dxa"/>
            <w:tcBorders>
              <w:top w:val="single" w:sz="12" w:space="0" w:color="008000"/>
              <w:bottom w:val="single" w:sz="6" w:space="0" w:color="008000"/>
            </w:tcBorders>
            <w:shd w:val="clear" w:color="auto" w:fill="FFFFFF"/>
          </w:tcPr>
          <w:p w14:paraId="6F1548AE" w14:textId="436099EB" w:rsidR="00BC1527" w:rsidRPr="00B57B36" w:rsidRDefault="00BC1527" w:rsidP="00BC1527">
            <w:pPr>
              <w:pStyle w:val="CETBodytext"/>
              <w:rPr>
                <w:lang w:val="en-GB"/>
              </w:rPr>
            </w:pPr>
            <w:r>
              <w:rPr>
                <w:lang w:val="en-GB"/>
              </w:rPr>
              <w:t>Reaction (2)</w:t>
            </w:r>
          </w:p>
        </w:tc>
        <w:tc>
          <w:tcPr>
            <w:tcW w:w="1276" w:type="dxa"/>
            <w:tcBorders>
              <w:top w:val="single" w:sz="12" w:space="0" w:color="008000"/>
              <w:bottom w:val="single" w:sz="6" w:space="0" w:color="008000"/>
            </w:tcBorders>
            <w:shd w:val="clear" w:color="auto" w:fill="FFFFFF"/>
          </w:tcPr>
          <w:p w14:paraId="1E922683" w14:textId="7C7F5B8E" w:rsidR="00BC1527" w:rsidRPr="00B57B36" w:rsidRDefault="00BC1527" w:rsidP="00BC1527">
            <w:pPr>
              <w:pStyle w:val="CETBodytext"/>
              <w:ind w:right="-1"/>
              <w:rPr>
                <w:rFonts w:cs="Arial"/>
                <w:szCs w:val="18"/>
                <w:lang w:val="en-GB"/>
              </w:rPr>
            </w:pPr>
            <w:r>
              <w:rPr>
                <w:lang w:val="en-GB"/>
              </w:rPr>
              <w:t>Reaction (3)</w:t>
            </w:r>
          </w:p>
        </w:tc>
        <w:tc>
          <w:tcPr>
            <w:tcW w:w="1276" w:type="dxa"/>
            <w:tcBorders>
              <w:top w:val="single" w:sz="12" w:space="0" w:color="008000"/>
              <w:bottom w:val="single" w:sz="6" w:space="0" w:color="008000"/>
            </w:tcBorders>
            <w:shd w:val="clear" w:color="auto" w:fill="FFFFFF"/>
          </w:tcPr>
          <w:p w14:paraId="67DC2742" w14:textId="35AA33E9" w:rsidR="00BC1527" w:rsidRPr="00B57B36" w:rsidRDefault="00BC1527" w:rsidP="00BC1527">
            <w:pPr>
              <w:pStyle w:val="CETBodytext"/>
              <w:ind w:right="-1"/>
              <w:rPr>
                <w:rFonts w:cs="Arial"/>
                <w:szCs w:val="18"/>
                <w:lang w:val="en-GB"/>
              </w:rPr>
            </w:pPr>
            <w:r>
              <w:rPr>
                <w:lang w:val="en-GB"/>
              </w:rPr>
              <w:t>Reaction (4)</w:t>
            </w:r>
          </w:p>
        </w:tc>
        <w:tc>
          <w:tcPr>
            <w:tcW w:w="1276" w:type="dxa"/>
            <w:tcBorders>
              <w:top w:val="single" w:sz="12" w:space="0" w:color="008000"/>
              <w:bottom w:val="single" w:sz="6" w:space="0" w:color="008000"/>
            </w:tcBorders>
            <w:shd w:val="clear" w:color="auto" w:fill="FFFFFF"/>
          </w:tcPr>
          <w:p w14:paraId="24130814" w14:textId="6856972D" w:rsidR="00BC1527" w:rsidRDefault="00BC1527" w:rsidP="00BC1527">
            <w:pPr>
              <w:pStyle w:val="CETBodytext"/>
              <w:ind w:right="-1"/>
              <w:rPr>
                <w:lang w:val="en-GB"/>
              </w:rPr>
            </w:pPr>
            <w:r>
              <w:rPr>
                <w:lang w:val="en-GB"/>
              </w:rPr>
              <w:t>Reaction (5)</w:t>
            </w:r>
          </w:p>
        </w:tc>
        <w:tc>
          <w:tcPr>
            <w:tcW w:w="1276" w:type="dxa"/>
            <w:tcBorders>
              <w:top w:val="single" w:sz="12" w:space="0" w:color="008000"/>
              <w:bottom w:val="single" w:sz="6" w:space="0" w:color="008000"/>
            </w:tcBorders>
            <w:shd w:val="clear" w:color="auto" w:fill="FFFFFF"/>
          </w:tcPr>
          <w:p w14:paraId="01A3500F" w14:textId="5F0B49A6" w:rsidR="00BC1527" w:rsidRDefault="00BC1527" w:rsidP="00BC1527">
            <w:pPr>
              <w:pStyle w:val="CETBodytext"/>
              <w:ind w:right="-1"/>
              <w:rPr>
                <w:lang w:val="en-GB"/>
              </w:rPr>
            </w:pPr>
            <w:r>
              <w:rPr>
                <w:lang w:val="en-GB"/>
              </w:rPr>
              <w:t>Reaction (6)</w:t>
            </w:r>
          </w:p>
        </w:tc>
      </w:tr>
      <w:tr w:rsidR="00BC1527" w:rsidRPr="00B57B36" w14:paraId="7AC4E03B" w14:textId="7143029F" w:rsidTr="00672F99">
        <w:tc>
          <w:tcPr>
            <w:tcW w:w="964" w:type="dxa"/>
            <w:shd w:val="clear" w:color="auto" w:fill="FFFFFF"/>
          </w:tcPr>
          <w:p w14:paraId="05A5CC1A" w14:textId="64B5DF90" w:rsidR="00BC1527" w:rsidRPr="00B57B36" w:rsidRDefault="00BC1527" w:rsidP="00BC1527">
            <w:pPr>
              <w:pStyle w:val="CETBodytext"/>
              <w:rPr>
                <w:lang w:val="en-GB"/>
              </w:rPr>
            </w:pPr>
            <w:r>
              <w:rPr>
                <w:lang w:val="en-GB"/>
              </w:rPr>
              <w:t>A</w:t>
            </w:r>
          </w:p>
        </w:tc>
        <w:tc>
          <w:tcPr>
            <w:tcW w:w="1276" w:type="dxa"/>
            <w:shd w:val="clear" w:color="auto" w:fill="FFFFFF"/>
          </w:tcPr>
          <w:p w14:paraId="4493BE4A" w14:textId="04774D7F" w:rsidR="00BC1527" w:rsidRPr="00B57B36" w:rsidRDefault="00BC1527" w:rsidP="00BC1527">
            <w:pPr>
              <w:pStyle w:val="CETBodytext"/>
              <w:rPr>
                <w:lang w:val="en-GB"/>
              </w:rPr>
            </w:pPr>
            <w:r w:rsidRPr="00743ECC">
              <w:t>132.899</w:t>
            </w:r>
          </w:p>
        </w:tc>
        <w:tc>
          <w:tcPr>
            <w:tcW w:w="1276" w:type="dxa"/>
            <w:shd w:val="clear" w:color="auto" w:fill="FFFFFF"/>
          </w:tcPr>
          <w:p w14:paraId="72F7E33D" w14:textId="58E971E6" w:rsidR="00BC1527" w:rsidRPr="00B57B36" w:rsidRDefault="00BC1527" w:rsidP="00BC1527">
            <w:pPr>
              <w:pStyle w:val="CETBodytext"/>
              <w:rPr>
                <w:lang w:val="en-GB"/>
              </w:rPr>
            </w:pPr>
            <w:r w:rsidRPr="00743ECC">
              <w:t>231.465</w:t>
            </w:r>
          </w:p>
        </w:tc>
        <w:tc>
          <w:tcPr>
            <w:tcW w:w="1276" w:type="dxa"/>
            <w:shd w:val="clear" w:color="auto" w:fill="FFFFFF"/>
          </w:tcPr>
          <w:p w14:paraId="2AD58A81" w14:textId="0EC3612B" w:rsidR="00BC1527" w:rsidRPr="00B57B36" w:rsidRDefault="00BC1527" w:rsidP="00BC1527">
            <w:pPr>
              <w:pStyle w:val="CETBodytext"/>
              <w:ind w:right="-1"/>
              <w:rPr>
                <w:rFonts w:cs="Arial"/>
                <w:szCs w:val="18"/>
                <w:lang w:val="en-GB"/>
              </w:rPr>
            </w:pPr>
            <w:r w:rsidRPr="00743ECC">
              <w:t>216.049</w:t>
            </w:r>
          </w:p>
        </w:tc>
        <w:tc>
          <w:tcPr>
            <w:tcW w:w="1276" w:type="dxa"/>
            <w:shd w:val="clear" w:color="auto" w:fill="FFFFFF"/>
          </w:tcPr>
          <w:p w14:paraId="5D2F4DB4" w14:textId="78737593" w:rsidR="00BC1527" w:rsidRPr="00B57B36" w:rsidRDefault="00BC1527" w:rsidP="00BC1527">
            <w:pPr>
              <w:pStyle w:val="CETBodytext"/>
              <w:ind w:right="-1"/>
              <w:rPr>
                <w:rFonts w:cs="Arial"/>
                <w:szCs w:val="18"/>
                <w:lang w:val="en-GB"/>
              </w:rPr>
            </w:pPr>
            <w:r>
              <w:t>-106.105</w:t>
            </w:r>
          </w:p>
        </w:tc>
        <w:tc>
          <w:tcPr>
            <w:tcW w:w="1276" w:type="dxa"/>
            <w:shd w:val="clear" w:color="auto" w:fill="FFFFFF"/>
          </w:tcPr>
          <w:p w14:paraId="1EC2DE6F" w14:textId="768C060F" w:rsidR="00BC1527" w:rsidRPr="00B57B36" w:rsidRDefault="00BC1527" w:rsidP="00BC1527">
            <w:pPr>
              <w:pStyle w:val="CETBodytext"/>
              <w:ind w:right="-1"/>
              <w:rPr>
                <w:rFonts w:cs="Arial"/>
                <w:szCs w:val="18"/>
                <w:lang w:val="en-GB"/>
              </w:rPr>
            </w:pPr>
            <w:r>
              <w:t>1.21526</w:t>
            </w:r>
          </w:p>
        </w:tc>
        <w:tc>
          <w:tcPr>
            <w:tcW w:w="1276" w:type="dxa"/>
            <w:shd w:val="clear" w:color="auto" w:fill="FFFFFF"/>
          </w:tcPr>
          <w:p w14:paraId="32C8904A" w14:textId="74D16615" w:rsidR="00BC1527" w:rsidRPr="00B57B36" w:rsidRDefault="00BC1527" w:rsidP="00BC1527">
            <w:pPr>
              <w:pStyle w:val="CETBodytext"/>
              <w:ind w:right="-1"/>
              <w:rPr>
                <w:rFonts w:cs="Arial"/>
                <w:szCs w:val="18"/>
                <w:lang w:val="en-GB"/>
              </w:rPr>
            </w:pPr>
            <w:r>
              <w:t>-10.4165</w:t>
            </w:r>
          </w:p>
        </w:tc>
      </w:tr>
      <w:tr w:rsidR="00BC1527" w:rsidRPr="00B57B36" w14:paraId="16337AD2" w14:textId="535435EE" w:rsidTr="00672F99">
        <w:tc>
          <w:tcPr>
            <w:tcW w:w="964" w:type="dxa"/>
            <w:shd w:val="clear" w:color="auto" w:fill="FFFFFF"/>
          </w:tcPr>
          <w:p w14:paraId="6DDB4293" w14:textId="304E7EF1" w:rsidR="00BC1527" w:rsidRPr="00B57B36" w:rsidRDefault="00BC1527" w:rsidP="00BC1527">
            <w:pPr>
              <w:pStyle w:val="CETBodytext"/>
              <w:ind w:right="-1"/>
              <w:rPr>
                <w:rFonts w:cs="Arial"/>
                <w:szCs w:val="18"/>
                <w:lang w:val="en-GB"/>
              </w:rPr>
            </w:pPr>
            <w:r>
              <w:rPr>
                <w:rFonts w:cs="Arial"/>
                <w:szCs w:val="18"/>
                <w:lang w:val="en-GB"/>
              </w:rPr>
              <w:t>B</w:t>
            </w:r>
          </w:p>
        </w:tc>
        <w:tc>
          <w:tcPr>
            <w:tcW w:w="1276" w:type="dxa"/>
            <w:shd w:val="clear" w:color="auto" w:fill="FFFFFF"/>
          </w:tcPr>
          <w:p w14:paraId="0F95E715" w14:textId="6FE4B822" w:rsidR="00BC1527" w:rsidRPr="00B57B36" w:rsidRDefault="00BC1527" w:rsidP="00BC1527">
            <w:pPr>
              <w:pStyle w:val="CETBodytext"/>
              <w:ind w:right="-1"/>
              <w:rPr>
                <w:rFonts w:cs="Arial"/>
                <w:szCs w:val="18"/>
                <w:lang w:val="en-GB"/>
              </w:rPr>
            </w:pPr>
            <w:r w:rsidRPr="00743ECC">
              <w:t>-13445.9</w:t>
            </w:r>
          </w:p>
        </w:tc>
        <w:tc>
          <w:tcPr>
            <w:tcW w:w="1276" w:type="dxa"/>
            <w:shd w:val="clear" w:color="auto" w:fill="FFFFFF"/>
          </w:tcPr>
          <w:p w14:paraId="04CED6D7" w14:textId="00728922" w:rsidR="00BC1527" w:rsidRPr="00B57B36" w:rsidRDefault="00BC1527" w:rsidP="00BC1527">
            <w:pPr>
              <w:pStyle w:val="CETBodytext"/>
              <w:ind w:right="-1"/>
              <w:rPr>
                <w:rFonts w:cs="Arial"/>
                <w:szCs w:val="18"/>
                <w:lang w:val="en-GB"/>
              </w:rPr>
            </w:pPr>
            <w:r w:rsidRPr="00743ECC">
              <w:t>-12092.1</w:t>
            </w:r>
          </w:p>
        </w:tc>
        <w:tc>
          <w:tcPr>
            <w:tcW w:w="1276" w:type="dxa"/>
            <w:shd w:val="clear" w:color="auto" w:fill="FFFFFF"/>
          </w:tcPr>
          <w:p w14:paraId="0E14B127" w14:textId="4503933A" w:rsidR="00BC1527" w:rsidRPr="00B57B36" w:rsidRDefault="00BC1527" w:rsidP="00BC1527">
            <w:pPr>
              <w:pStyle w:val="CETBodytext"/>
              <w:ind w:right="-1"/>
              <w:rPr>
                <w:rFonts w:cs="Arial"/>
                <w:szCs w:val="18"/>
                <w:lang w:val="en-GB"/>
              </w:rPr>
            </w:pPr>
            <w:r w:rsidRPr="00743ECC">
              <w:t>-12431.7</w:t>
            </w:r>
          </w:p>
        </w:tc>
        <w:tc>
          <w:tcPr>
            <w:tcW w:w="1276" w:type="dxa"/>
            <w:shd w:val="clear" w:color="auto" w:fill="FFFFFF"/>
          </w:tcPr>
          <w:p w14:paraId="4ADCDDBD" w14:textId="3533E28D" w:rsidR="00BC1527" w:rsidRPr="00B57B36" w:rsidRDefault="00BC1527" w:rsidP="00BC1527">
            <w:pPr>
              <w:pStyle w:val="CETBodytext"/>
              <w:ind w:right="-1"/>
              <w:rPr>
                <w:rFonts w:cs="Arial"/>
                <w:szCs w:val="18"/>
                <w:lang w:val="en-GB"/>
              </w:rPr>
            </w:pPr>
            <w:r>
              <w:t>-4134.2</w:t>
            </w:r>
          </w:p>
        </w:tc>
        <w:tc>
          <w:tcPr>
            <w:tcW w:w="1276" w:type="dxa"/>
            <w:shd w:val="clear" w:color="auto" w:fill="FFFFFF"/>
          </w:tcPr>
          <w:p w14:paraId="7B3D00C1" w14:textId="20461E8E" w:rsidR="00BC1527" w:rsidRPr="00B57B36" w:rsidRDefault="00BC1527" w:rsidP="00BC1527">
            <w:pPr>
              <w:pStyle w:val="CETBodytext"/>
              <w:ind w:right="-1"/>
              <w:rPr>
                <w:rFonts w:cs="Arial"/>
                <w:szCs w:val="18"/>
                <w:lang w:val="en-GB"/>
              </w:rPr>
            </w:pPr>
            <w:r>
              <w:t>-1068.67</w:t>
            </w:r>
          </w:p>
        </w:tc>
        <w:tc>
          <w:tcPr>
            <w:tcW w:w="1276" w:type="dxa"/>
            <w:shd w:val="clear" w:color="auto" w:fill="FFFFFF"/>
          </w:tcPr>
          <w:p w14:paraId="60A5DD80" w14:textId="3D0EE8DB" w:rsidR="00BC1527" w:rsidRPr="00B57B36" w:rsidRDefault="00BC1527" w:rsidP="00BC1527">
            <w:pPr>
              <w:pStyle w:val="CETBodytext"/>
              <w:ind w:right="-1"/>
              <w:rPr>
                <w:rFonts w:cs="Arial"/>
                <w:szCs w:val="18"/>
                <w:lang w:val="en-GB"/>
              </w:rPr>
            </w:pPr>
            <w:r>
              <w:t>-4234.98</w:t>
            </w:r>
          </w:p>
        </w:tc>
      </w:tr>
      <w:tr w:rsidR="00BC1527" w:rsidRPr="00B57B36" w14:paraId="3FCD6F24" w14:textId="562F62DF" w:rsidTr="00672F99">
        <w:tc>
          <w:tcPr>
            <w:tcW w:w="964" w:type="dxa"/>
            <w:shd w:val="clear" w:color="auto" w:fill="FFFFFF"/>
          </w:tcPr>
          <w:p w14:paraId="1D1E7FA6" w14:textId="4E689F0B" w:rsidR="00BC1527" w:rsidRPr="00B57B36" w:rsidRDefault="00BC1527" w:rsidP="00BC1527">
            <w:pPr>
              <w:pStyle w:val="CETBodytext"/>
              <w:ind w:right="-1"/>
              <w:rPr>
                <w:rFonts w:cs="Arial"/>
                <w:szCs w:val="18"/>
                <w:lang w:val="en-GB"/>
              </w:rPr>
            </w:pPr>
            <w:r>
              <w:rPr>
                <w:rFonts w:cs="Arial"/>
                <w:szCs w:val="18"/>
                <w:lang w:val="en-GB"/>
              </w:rPr>
              <w:t>C</w:t>
            </w:r>
          </w:p>
        </w:tc>
        <w:tc>
          <w:tcPr>
            <w:tcW w:w="1276" w:type="dxa"/>
            <w:shd w:val="clear" w:color="auto" w:fill="FFFFFF"/>
          </w:tcPr>
          <w:p w14:paraId="3613D26E" w14:textId="3478E220" w:rsidR="00BC1527" w:rsidRPr="00B57B36" w:rsidRDefault="00BC1527" w:rsidP="00BC1527">
            <w:pPr>
              <w:pStyle w:val="CETBodytext"/>
              <w:ind w:right="-1"/>
              <w:rPr>
                <w:rFonts w:cs="Arial"/>
                <w:szCs w:val="18"/>
                <w:lang w:val="en-GB"/>
              </w:rPr>
            </w:pPr>
            <w:r w:rsidRPr="00743ECC">
              <w:t>-22.4773</w:t>
            </w:r>
          </w:p>
        </w:tc>
        <w:tc>
          <w:tcPr>
            <w:tcW w:w="1276" w:type="dxa"/>
            <w:shd w:val="clear" w:color="auto" w:fill="FFFFFF"/>
          </w:tcPr>
          <w:p w14:paraId="317C989C" w14:textId="22870F4B" w:rsidR="00BC1527" w:rsidRPr="00B57B36" w:rsidRDefault="00BC1527" w:rsidP="00BC1527">
            <w:pPr>
              <w:pStyle w:val="CETBodytext"/>
              <w:ind w:right="-1"/>
              <w:rPr>
                <w:rFonts w:cs="Arial"/>
                <w:szCs w:val="18"/>
                <w:lang w:val="en-GB"/>
              </w:rPr>
            </w:pPr>
            <w:r w:rsidRPr="00743ECC">
              <w:t>-36.7816</w:t>
            </w:r>
          </w:p>
        </w:tc>
        <w:tc>
          <w:tcPr>
            <w:tcW w:w="1276" w:type="dxa"/>
            <w:shd w:val="clear" w:color="auto" w:fill="FFFFFF"/>
          </w:tcPr>
          <w:p w14:paraId="13F75990" w14:textId="32628272" w:rsidR="00BC1527" w:rsidRPr="00B57B36" w:rsidRDefault="00BC1527" w:rsidP="00BC1527">
            <w:pPr>
              <w:pStyle w:val="CETBodytext"/>
              <w:ind w:right="-1"/>
              <w:rPr>
                <w:rFonts w:cs="Arial"/>
                <w:szCs w:val="18"/>
                <w:lang w:val="en-GB"/>
              </w:rPr>
            </w:pPr>
            <w:r w:rsidRPr="00743ECC">
              <w:t>-35.4819</w:t>
            </w:r>
          </w:p>
        </w:tc>
        <w:tc>
          <w:tcPr>
            <w:tcW w:w="1276" w:type="dxa"/>
            <w:shd w:val="clear" w:color="auto" w:fill="FFFFFF"/>
          </w:tcPr>
          <w:p w14:paraId="1333A855" w14:textId="08330CDC" w:rsidR="00BC1527" w:rsidRPr="00B57B36" w:rsidRDefault="00BC1527" w:rsidP="00BC1527">
            <w:pPr>
              <w:pStyle w:val="CETBodytext"/>
              <w:ind w:right="-1"/>
              <w:rPr>
                <w:rFonts w:cs="Arial"/>
                <w:szCs w:val="18"/>
                <w:lang w:val="en-GB"/>
              </w:rPr>
            </w:pPr>
            <w:r>
              <w:t>16.2313</w:t>
            </w:r>
          </w:p>
        </w:tc>
        <w:tc>
          <w:tcPr>
            <w:tcW w:w="1276" w:type="dxa"/>
            <w:shd w:val="clear" w:color="auto" w:fill="FFFFFF"/>
          </w:tcPr>
          <w:p w14:paraId="7F20E715" w14:textId="77777777" w:rsidR="00BC1527" w:rsidRPr="00B57B36" w:rsidRDefault="00BC1527" w:rsidP="00BC1527">
            <w:pPr>
              <w:pStyle w:val="CETBodytext"/>
              <w:ind w:right="-1"/>
              <w:rPr>
                <w:rFonts w:cs="Arial"/>
                <w:szCs w:val="18"/>
                <w:lang w:val="en-GB"/>
              </w:rPr>
            </w:pPr>
          </w:p>
        </w:tc>
        <w:tc>
          <w:tcPr>
            <w:tcW w:w="1276" w:type="dxa"/>
            <w:shd w:val="clear" w:color="auto" w:fill="FFFFFF"/>
          </w:tcPr>
          <w:p w14:paraId="72F0EA03" w14:textId="77777777" w:rsidR="00BC1527" w:rsidRPr="00B57B36" w:rsidRDefault="00BC1527" w:rsidP="00BC1527">
            <w:pPr>
              <w:pStyle w:val="CETBodytext"/>
              <w:ind w:right="-1"/>
              <w:rPr>
                <w:rFonts w:cs="Arial"/>
                <w:szCs w:val="18"/>
                <w:lang w:val="en-GB"/>
              </w:rPr>
            </w:pPr>
          </w:p>
        </w:tc>
      </w:tr>
      <w:tr w:rsidR="00BC1527" w:rsidRPr="00B57B36" w14:paraId="426EA8C2" w14:textId="1F4E6F9A" w:rsidTr="00672F99">
        <w:tc>
          <w:tcPr>
            <w:tcW w:w="964" w:type="dxa"/>
            <w:shd w:val="clear" w:color="auto" w:fill="FFFFFF"/>
          </w:tcPr>
          <w:p w14:paraId="40FC6636" w14:textId="4B0EC875" w:rsidR="00BC1527" w:rsidRPr="00B57B36" w:rsidRDefault="00BC1527" w:rsidP="008A70EC">
            <w:pPr>
              <w:pStyle w:val="CETBodytext"/>
              <w:ind w:right="-1"/>
              <w:rPr>
                <w:rFonts w:cs="Arial"/>
                <w:szCs w:val="18"/>
                <w:lang w:val="en-GB"/>
              </w:rPr>
            </w:pPr>
            <w:r>
              <w:rPr>
                <w:rFonts w:cs="Arial"/>
                <w:szCs w:val="18"/>
                <w:lang w:val="en-GB"/>
              </w:rPr>
              <w:t>Source</w:t>
            </w:r>
          </w:p>
        </w:tc>
        <w:tc>
          <w:tcPr>
            <w:tcW w:w="1276" w:type="dxa"/>
            <w:shd w:val="clear" w:color="auto" w:fill="FFFFFF"/>
          </w:tcPr>
          <w:p w14:paraId="2DE9EC47" w14:textId="3ECABCC0" w:rsidR="00BC1527" w:rsidRPr="00B57B36" w:rsidRDefault="00BC1527" w:rsidP="008A70EC">
            <w:pPr>
              <w:pStyle w:val="CETBodytext"/>
              <w:ind w:right="-1"/>
              <w:rPr>
                <w:rFonts w:cs="Arial"/>
                <w:szCs w:val="18"/>
                <w:lang w:val="en-GB"/>
              </w:rPr>
            </w:pPr>
            <w:r>
              <w:rPr>
                <w:rFonts w:cs="Arial"/>
                <w:szCs w:val="18"/>
                <w:lang w:val="en-GB"/>
              </w:rPr>
              <w:t>[1]</w:t>
            </w:r>
          </w:p>
        </w:tc>
        <w:tc>
          <w:tcPr>
            <w:tcW w:w="1276" w:type="dxa"/>
            <w:shd w:val="clear" w:color="auto" w:fill="FFFFFF"/>
          </w:tcPr>
          <w:p w14:paraId="021A1E4A" w14:textId="2F99A729" w:rsidR="00BC1527" w:rsidRPr="00B57B36" w:rsidRDefault="00BC1527" w:rsidP="008A70EC">
            <w:pPr>
              <w:pStyle w:val="CETBodytext"/>
              <w:ind w:right="-1"/>
              <w:rPr>
                <w:rFonts w:cs="Arial"/>
                <w:szCs w:val="18"/>
                <w:lang w:val="en-GB"/>
              </w:rPr>
            </w:pPr>
            <w:r>
              <w:rPr>
                <w:rFonts w:cs="Arial"/>
                <w:szCs w:val="18"/>
                <w:lang w:val="en-GB"/>
              </w:rPr>
              <w:t>[1]</w:t>
            </w:r>
          </w:p>
        </w:tc>
        <w:tc>
          <w:tcPr>
            <w:tcW w:w="1276" w:type="dxa"/>
            <w:shd w:val="clear" w:color="auto" w:fill="FFFFFF"/>
          </w:tcPr>
          <w:p w14:paraId="3F089CBA" w14:textId="446ADD7F" w:rsidR="00BC1527" w:rsidRPr="00B57B36" w:rsidRDefault="00BC1527" w:rsidP="008A70EC">
            <w:pPr>
              <w:pStyle w:val="CETBodytext"/>
              <w:ind w:right="-1"/>
              <w:rPr>
                <w:rFonts w:cs="Arial"/>
                <w:szCs w:val="18"/>
                <w:lang w:val="en-GB"/>
              </w:rPr>
            </w:pPr>
            <w:r>
              <w:rPr>
                <w:rFonts w:cs="Arial"/>
                <w:szCs w:val="18"/>
                <w:lang w:val="en-GB"/>
              </w:rPr>
              <w:t>[1]</w:t>
            </w:r>
          </w:p>
        </w:tc>
        <w:tc>
          <w:tcPr>
            <w:tcW w:w="1276" w:type="dxa"/>
            <w:shd w:val="clear" w:color="auto" w:fill="FFFFFF"/>
          </w:tcPr>
          <w:p w14:paraId="48716CFB" w14:textId="7384C832" w:rsidR="00BC1527" w:rsidRPr="00B57B36" w:rsidRDefault="00BC1527" w:rsidP="008A70EC">
            <w:pPr>
              <w:pStyle w:val="CETBodytext"/>
              <w:ind w:right="-1"/>
              <w:rPr>
                <w:rFonts w:cs="Arial"/>
                <w:szCs w:val="18"/>
                <w:lang w:val="en-GB"/>
              </w:rPr>
            </w:pPr>
            <w:r>
              <w:rPr>
                <w:rFonts w:cs="Arial"/>
                <w:szCs w:val="18"/>
                <w:lang w:val="en-GB"/>
              </w:rPr>
              <w:t>[2]</w:t>
            </w:r>
          </w:p>
        </w:tc>
        <w:tc>
          <w:tcPr>
            <w:tcW w:w="1276" w:type="dxa"/>
            <w:shd w:val="clear" w:color="auto" w:fill="FFFFFF"/>
          </w:tcPr>
          <w:p w14:paraId="48B7DAD6" w14:textId="4FA12934" w:rsidR="00BC1527" w:rsidRPr="00B57B36" w:rsidRDefault="00BC1527" w:rsidP="008A70EC">
            <w:pPr>
              <w:pStyle w:val="CETBodytext"/>
              <w:ind w:right="-1"/>
              <w:rPr>
                <w:rFonts w:cs="Arial"/>
                <w:szCs w:val="18"/>
                <w:lang w:val="en-GB"/>
              </w:rPr>
            </w:pPr>
            <w:r>
              <w:rPr>
                <w:rFonts w:cs="Arial"/>
                <w:szCs w:val="18"/>
                <w:lang w:val="en-GB"/>
              </w:rPr>
              <w:t>[1, 2]</w:t>
            </w:r>
          </w:p>
        </w:tc>
        <w:tc>
          <w:tcPr>
            <w:tcW w:w="1276" w:type="dxa"/>
            <w:shd w:val="clear" w:color="auto" w:fill="FFFFFF"/>
          </w:tcPr>
          <w:p w14:paraId="1F1C19D3" w14:textId="5537444D" w:rsidR="00BC1527" w:rsidRPr="00B57B36" w:rsidRDefault="00BC1527" w:rsidP="008A70EC">
            <w:pPr>
              <w:pStyle w:val="CETBodytext"/>
              <w:ind w:right="-1"/>
              <w:rPr>
                <w:rFonts w:cs="Arial"/>
                <w:szCs w:val="18"/>
                <w:lang w:val="en-GB"/>
              </w:rPr>
            </w:pPr>
            <w:r>
              <w:rPr>
                <w:rFonts w:cs="Arial"/>
                <w:szCs w:val="18"/>
                <w:lang w:val="en-GB"/>
              </w:rPr>
              <w:t>[3]</w:t>
            </w:r>
          </w:p>
        </w:tc>
      </w:tr>
    </w:tbl>
    <w:p w14:paraId="54D5A466" w14:textId="3163EA5D" w:rsidR="008558CF" w:rsidRDefault="008558CF" w:rsidP="008558CF">
      <w:pPr>
        <w:pStyle w:val="CETBodytext"/>
      </w:pPr>
    </w:p>
    <w:p w14:paraId="6FFB6FC2" w14:textId="06186E44" w:rsidR="00770E6B" w:rsidRPr="000553EC" w:rsidRDefault="00770E6B" w:rsidP="000553EC">
      <w:pPr>
        <w:pStyle w:val="CETheadingx"/>
      </w:pPr>
      <w:r w:rsidRPr="000553EC">
        <w:t>Henry constant</w:t>
      </w:r>
      <w:r w:rsidR="004D79E1" w:rsidRPr="000553EC">
        <w:t xml:space="preserve"> and amines vapor pressure</w:t>
      </w:r>
    </w:p>
    <w:p w14:paraId="37EB2878" w14:textId="35DC8F11" w:rsidR="00770E6B" w:rsidRDefault="00495D1A" w:rsidP="00BF6973">
      <w:pPr>
        <w:pStyle w:val="CETBodytext"/>
      </w:pPr>
      <w:r w:rsidRPr="000553EC">
        <w:t xml:space="preserve">Remarkably, other properties of interest for the VLE characterization such as </w:t>
      </w:r>
      <w:r w:rsidRPr="00516144">
        <w:t xml:space="preserve">the vapor pressure </w:t>
      </w:r>
      <w:r w:rsidRPr="000553EC">
        <w:t>(</w:t>
      </w:r>
      <w:r w:rsidR="005C71CF">
        <w:t xml:space="preserve">for </w:t>
      </w:r>
      <w:r w:rsidRPr="000553EC">
        <w:t>amines and water) and Henry constant to define the CO</w:t>
      </w:r>
      <w:r w:rsidRPr="000553EC">
        <w:rPr>
          <w:vertAlign w:val="subscript"/>
        </w:rPr>
        <w:t>2</w:t>
      </w:r>
      <w:r w:rsidRPr="000553EC">
        <w:t xml:space="preserve"> solubility</w:t>
      </w:r>
      <w:r w:rsidR="005C71CF">
        <w:t xml:space="preserve"> (infinite d</w:t>
      </w:r>
      <w:r w:rsidR="00A96A71">
        <w:t>ilution condition)</w:t>
      </w:r>
      <w:r w:rsidRPr="000553EC">
        <w:t xml:space="preserve"> in the solvent are described using an Antoine-type model</w:t>
      </w:r>
      <w:r w:rsidR="00A96A71">
        <w:t xml:space="preserve"> and the parameters</w:t>
      </w:r>
      <w:r w:rsidRPr="000553EC">
        <w:t xml:space="preserve"> using experimental data collected within the project tasks. These additional properties and the </w:t>
      </w:r>
      <w:r w:rsidR="003849F9">
        <w:t>relatively</w:t>
      </w:r>
      <w:r w:rsidRPr="000553EC">
        <w:t xml:space="preserve"> detailed descriptions are available in </w:t>
      </w:r>
      <w:r w:rsidR="0005333F" w:rsidRPr="000553EC">
        <w:t>a</w:t>
      </w:r>
      <w:r w:rsidRPr="000553EC">
        <w:t xml:space="preserve"> dedicated work </w:t>
      </w:r>
      <w:r w:rsidR="0005333F" w:rsidRPr="000553EC">
        <w:t xml:space="preserve">by </w:t>
      </w:r>
      <w:r w:rsidR="00C81563" w:rsidRPr="000553EC">
        <w:t>Gilardi et al</w:t>
      </w:r>
      <w:r w:rsidRPr="000553EC">
        <w:t>.</w:t>
      </w:r>
      <w:r w:rsidR="00BF6973" w:rsidRPr="000553EC">
        <w:t xml:space="preserve"> </w:t>
      </w:r>
      <w:r w:rsidR="004D79E1" w:rsidRPr="000553EC">
        <w:t xml:space="preserve">The resulting </w:t>
      </w:r>
      <w:r w:rsidR="00B05A0E" w:rsidRPr="000553EC">
        <w:t xml:space="preserve">Henry constants </w:t>
      </w:r>
      <w:r w:rsidR="00F93FC3" w:rsidRPr="000553EC">
        <w:t xml:space="preserve">(He) </w:t>
      </w:r>
      <w:r w:rsidR="00B05A0E" w:rsidRPr="000553EC">
        <w:t>and Antoine expressions</w:t>
      </w:r>
      <w:r w:rsidR="00F93FC3" w:rsidRPr="000553EC">
        <w:t xml:space="preserve"> (P</w:t>
      </w:r>
      <w:r w:rsidR="00F93FC3" w:rsidRPr="000553EC">
        <w:rPr>
          <w:vertAlign w:val="subscript"/>
        </w:rPr>
        <w:t>sat</w:t>
      </w:r>
      <w:r w:rsidR="00F93FC3" w:rsidRPr="000553EC">
        <w:t>)</w:t>
      </w:r>
      <w:r w:rsidR="00C15A04">
        <w:t xml:space="preserve"> adopted in expressions (</w:t>
      </w:r>
      <w:r w:rsidR="002B0266">
        <w:t>8</w:t>
      </w:r>
      <w:r w:rsidR="00C15A04">
        <w:t>) and (</w:t>
      </w:r>
      <w:r w:rsidR="002B0266">
        <w:t>9</w:t>
      </w:r>
      <w:r w:rsidR="00C15A04">
        <w:t>)</w:t>
      </w:r>
      <w:r w:rsidR="00B05A0E" w:rsidRPr="000553EC">
        <w:t xml:space="preserve"> are </w:t>
      </w:r>
      <w:r w:rsidR="00C15A04">
        <w:t>gathered</w:t>
      </w:r>
      <w:r w:rsidR="00B05A0E" w:rsidRPr="000553EC">
        <w:t xml:space="preserve"> in Table 2.</w:t>
      </w:r>
    </w:p>
    <w:p w14:paraId="438B9BFE" w14:textId="77777777" w:rsidR="00C15A04" w:rsidRDefault="00C15A04" w:rsidP="00BF6973">
      <w:pPr>
        <w:pStyle w:val="CETBodytext"/>
      </w:pPr>
    </w:p>
    <w:tbl>
      <w:tblPr>
        <w:tblW w:w="5000" w:type="pct"/>
        <w:tblLook w:val="04A0" w:firstRow="1" w:lastRow="0" w:firstColumn="1" w:lastColumn="0" w:noHBand="0" w:noVBand="1"/>
      </w:tblPr>
      <w:tblGrid>
        <w:gridCol w:w="7981"/>
        <w:gridCol w:w="806"/>
      </w:tblGrid>
      <w:tr w:rsidR="00C15A04" w:rsidRPr="00B57B36" w14:paraId="5AFADA8F" w14:textId="77777777" w:rsidTr="00411567">
        <w:tc>
          <w:tcPr>
            <w:tcW w:w="7972" w:type="dxa"/>
            <w:shd w:val="clear" w:color="auto" w:fill="auto"/>
            <w:vAlign w:val="center"/>
          </w:tcPr>
          <w:p w14:paraId="52D25871" w14:textId="4D0A9EA4" w:rsidR="00C15A04" w:rsidRPr="00B57B36" w:rsidRDefault="00000000" w:rsidP="00546FAC">
            <w:pPr>
              <w:pStyle w:val="CETEquation"/>
              <w:spacing w:before="0" w:after="0" w:line="240" w:lineRule="auto"/>
            </w:pPr>
            <m:oMathPara>
              <m:oMath>
                <m:func>
                  <m:funcPr>
                    <m:ctrlPr>
                      <w:rPr>
                        <w:rFonts w:ascii="Cambria Math" w:hAnsi="Cambria Math"/>
                        <w:i/>
                      </w:rPr>
                    </m:ctrlPr>
                  </m:funcPr>
                  <m:fName>
                    <m:r>
                      <w:rPr>
                        <w:rFonts w:ascii="Cambria Math"/>
                      </w:rPr>
                      <m:t>ln</m:t>
                    </m:r>
                  </m:fName>
                  <m:e>
                    <m:r>
                      <w:rPr>
                        <w:rFonts w:ascii="Cambria Math"/>
                      </w:rPr>
                      <m:t>(</m:t>
                    </m:r>
                  </m:e>
                </m:func>
                <m:r>
                  <w:rPr>
                    <w:rFonts w:ascii="Cambria Math"/>
                  </w:rPr>
                  <m:t>He[kPa])=A+</m:t>
                </m:r>
                <m:f>
                  <m:fPr>
                    <m:ctrlPr>
                      <w:rPr>
                        <w:rFonts w:ascii="Cambria Math" w:hAnsi="Cambria Math"/>
                        <w:i/>
                      </w:rPr>
                    </m:ctrlPr>
                  </m:fPr>
                  <m:num>
                    <m:r>
                      <w:rPr>
                        <w:rFonts w:ascii="Cambria Math"/>
                      </w:rPr>
                      <m:t>B</m:t>
                    </m:r>
                  </m:num>
                  <m:den>
                    <m:r>
                      <w:rPr>
                        <w:rFonts w:ascii="Cambria Math"/>
                      </w:rPr>
                      <m:t>T[K]</m:t>
                    </m:r>
                  </m:den>
                </m:f>
                <m:r>
                  <w:rPr>
                    <w:rFonts w:ascii="Cambria Math"/>
                  </w:rPr>
                  <m:t>+C</m:t>
                </m:r>
                <m:r>
                  <w:rPr>
                    <w:rFonts w:ascii="MS Mincho" w:eastAsia="MS Mincho" w:hAnsi="MS Mincho" w:cs="MS Mincho" w:hint="eastAsia"/>
                  </w:rPr>
                  <m:t>⋅</m:t>
                </m:r>
                <m:func>
                  <m:funcPr>
                    <m:ctrlPr>
                      <w:rPr>
                        <w:rFonts w:ascii="Cambria Math" w:hAnsi="Cambria Math"/>
                        <w:i/>
                      </w:rPr>
                    </m:ctrlPr>
                  </m:funcPr>
                  <m:fName>
                    <m:r>
                      <w:rPr>
                        <w:rFonts w:ascii="Cambria Math"/>
                      </w:rPr>
                      <m:t>ln</m:t>
                    </m:r>
                  </m:fName>
                  <m:e>
                    <m:r>
                      <w:rPr>
                        <w:rFonts w:ascii="Cambria Math"/>
                      </w:rPr>
                      <m:t>(</m:t>
                    </m:r>
                  </m:e>
                </m:func>
                <m:r>
                  <w:rPr>
                    <w:rFonts w:ascii="Cambria Math"/>
                  </w:rPr>
                  <m:t>T[K])+D</m:t>
                </m:r>
                <m:r>
                  <w:rPr>
                    <w:rFonts w:ascii="MS Mincho" w:eastAsia="MS Mincho" w:hAnsi="MS Mincho" w:cs="MS Mincho" w:hint="eastAsia"/>
                  </w:rPr>
                  <m:t>⋅</m:t>
                </m:r>
                <m:r>
                  <w:rPr>
                    <w:rFonts w:ascii="Cambria Math"/>
                  </w:rPr>
                  <m:t>T[K]</m:t>
                </m:r>
              </m:oMath>
            </m:oMathPara>
          </w:p>
        </w:tc>
        <w:tc>
          <w:tcPr>
            <w:tcW w:w="805" w:type="dxa"/>
            <w:shd w:val="clear" w:color="auto" w:fill="auto"/>
            <w:vAlign w:val="center"/>
          </w:tcPr>
          <w:p w14:paraId="6A97C203" w14:textId="62D9B74E" w:rsidR="00C15A04" w:rsidRPr="00B57B36" w:rsidRDefault="00C15A04" w:rsidP="00C31D49">
            <w:pPr>
              <w:pStyle w:val="CETEquation"/>
              <w:spacing w:before="0" w:after="0" w:line="240" w:lineRule="auto"/>
              <w:jc w:val="right"/>
            </w:pPr>
            <w:r w:rsidRPr="00B57B36">
              <w:t>(</w:t>
            </w:r>
            <w:r w:rsidR="002B0266">
              <w:t>8</w:t>
            </w:r>
            <w:r w:rsidRPr="00B57B36">
              <w:t>)</w:t>
            </w:r>
          </w:p>
        </w:tc>
      </w:tr>
      <w:tr w:rsidR="00C15A04" w:rsidRPr="00B57B36" w14:paraId="06C12361" w14:textId="77777777" w:rsidTr="00411567">
        <w:tc>
          <w:tcPr>
            <w:tcW w:w="7972" w:type="dxa"/>
            <w:shd w:val="clear" w:color="auto" w:fill="auto"/>
            <w:vAlign w:val="center"/>
          </w:tcPr>
          <w:p w14:paraId="649F883F" w14:textId="48790908" w:rsidR="00C15A04" w:rsidRDefault="00000000" w:rsidP="00546FAC">
            <w:pPr>
              <w:pStyle w:val="CETEquation"/>
              <w:spacing w:before="0" w:after="0" w:line="240" w:lineRule="auto"/>
            </w:pPr>
            <m:oMathPara>
              <m:oMath>
                <m:func>
                  <m:funcPr>
                    <m:ctrlPr>
                      <w:rPr>
                        <w:rFonts w:ascii="Cambria Math" w:hAnsi="Cambria Math"/>
                        <w:i/>
                      </w:rPr>
                    </m:ctrlPr>
                  </m:funcPr>
                  <m:fName>
                    <m:r>
                      <w:rPr>
                        <w:rFonts w:ascii="Cambria Math"/>
                      </w:rPr>
                      <m:t>ln</m:t>
                    </m:r>
                  </m:fName>
                  <m:e>
                    <m:r>
                      <w:rPr>
                        <w:rFonts w:ascii="Cambria Math"/>
                      </w:rPr>
                      <m:t>(</m:t>
                    </m:r>
                  </m:e>
                </m:func>
                <m:sSub>
                  <m:sSubPr>
                    <m:ctrlPr>
                      <w:rPr>
                        <w:rFonts w:ascii="Cambria Math" w:hAnsi="Cambria Math"/>
                        <w:i/>
                      </w:rPr>
                    </m:ctrlPr>
                  </m:sSubPr>
                  <m:e>
                    <m:r>
                      <w:rPr>
                        <w:rFonts w:ascii="Cambria Math"/>
                      </w:rPr>
                      <m:t>P</m:t>
                    </m:r>
                  </m:e>
                  <m:sub>
                    <m:r>
                      <w:rPr>
                        <w:rFonts w:ascii="Cambria Math"/>
                      </w:rPr>
                      <m:t>sat</m:t>
                    </m:r>
                  </m:sub>
                </m:sSub>
                <m:r>
                  <w:rPr>
                    <w:rFonts w:ascii="Cambria Math"/>
                  </w:rPr>
                  <m:t>[bar])=A+</m:t>
                </m:r>
                <m:f>
                  <m:fPr>
                    <m:ctrlPr>
                      <w:rPr>
                        <w:rFonts w:ascii="Cambria Math" w:hAnsi="Cambria Math"/>
                        <w:i/>
                      </w:rPr>
                    </m:ctrlPr>
                  </m:fPr>
                  <m:num>
                    <m:r>
                      <w:rPr>
                        <w:rFonts w:ascii="Cambria Math"/>
                      </w:rPr>
                      <m:t>B</m:t>
                    </m:r>
                  </m:num>
                  <m:den>
                    <m:r>
                      <w:rPr>
                        <w:rFonts w:ascii="Cambria Math"/>
                      </w:rPr>
                      <m:t>T[K]+C</m:t>
                    </m:r>
                  </m:den>
                </m:f>
              </m:oMath>
            </m:oMathPara>
          </w:p>
        </w:tc>
        <w:tc>
          <w:tcPr>
            <w:tcW w:w="805" w:type="dxa"/>
            <w:shd w:val="clear" w:color="auto" w:fill="auto"/>
            <w:vAlign w:val="center"/>
          </w:tcPr>
          <w:p w14:paraId="573AD318" w14:textId="76C4E66E" w:rsidR="00C15A04" w:rsidRPr="00B57B36" w:rsidRDefault="00C15A04" w:rsidP="00C31D49">
            <w:pPr>
              <w:pStyle w:val="CETEquation"/>
              <w:spacing w:before="0" w:after="0" w:line="240" w:lineRule="auto"/>
              <w:jc w:val="right"/>
            </w:pPr>
            <w:r>
              <w:t>(</w:t>
            </w:r>
            <w:r w:rsidR="002B0266">
              <w:t>9</w:t>
            </w:r>
            <w:r>
              <w:t>)</w:t>
            </w:r>
          </w:p>
        </w:tc>
      </w:tr>
    </w:tbl>
    <w:p w14:paraId="45BE80E3" w14:textId="3AEE307D" w:rsidR="00F93FC3" w:rsidRPr="000553EC" w:rsidRDefault="00F93FC3" w:rsidP="004D79E1">
      <w:pPr>
        <w:pStyle w:val="CETCaption"/>
        <w:rPr>
          <w:i w:val="0"/>
          <w:lang w:val="en-US"/>
        </w:rPr>
      </w:pPr>
      <w:r w:rsidRPr="000553EC">
        <w:t>Table 2: Henry constants (He) and Antoine equation (P</w:t>
      </w:r>
      <w:r w:rsidRPr="000553EC">
        <w:rPr>
          <w:vertAlign w:val="subscript"/>
        </w:rPr>
        <w:t>sat</w:t>
      </w:r>
      <w:r w:rsidRPr="000553EC">
        <w:t>)</w:t>
      </w:r>
      <w:r w:rsidR="0005333F" w:rsidRPr="000553EC">
        <w:t xml:space="preserve"> </w:t>
      </w:r>
      <w:r w:rsidR="005E1EAE" w:rsidRPr="000553EC">
        <w:t>regressed</w:t>
      </w:r>
      <w:r w:rsidRPr="000553EC">
        <w:t xml:space="preserve"> coefficients for AP and PRLD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814"/>
        <w:gridCol w:w="1814"/>
        <w:gridCol w:w="1814"/>
        <w:gridCol w:w="1814"/>
      </w:tblGrid>
      <w:tr w:rsidR="00F93FC3" w:rsidRPr="000553EC" w14:paraId="3B8B7607" w14:textId="77777777" w:rsidTr="005E1EAE">
        <w:tc>
          <w:tcPr>
            <w:tcW w:w="1134" w:type="dxa"/>
            <w:tcBorders>
              <w:top w:val="single" w:sz="12" w:space="0" w:color="008000"/>
              <w:bottom w:val="single" w:sz="6" w:space="0" w:color="008000"/>
            </w:tcBorders>
            <w:shd w:val="clear" w:color="auto" w:fill="FFFFFF"/>
          </w:tcPr>
          <w:p w14:paraId="22D4279A" w14:textId="77777777" w:rsidR="00F93FC3" w:rsidRPr="000553EC" w:rsidRDefault="00F93FC3" w:rsidP="008A70EC">
            <w:pPr>
              <w:pStyle w:val="CETBodytext"/>
              <w:rPr>
                <w:lang w:val="en-GB"/>
              </w:rPr>
            </w:pPr>
          </w:p>
        </w:tc>
        <w:tc>
          <w:tcPr>
            <w:tcW w:w="1814" w:type="dxa"/>
            <w:tcBorders>
              <w:top w:val="single" w:sz="12" w:space="0" w:color="008000"/>
              <w:bottom w:val="single" w:sz="6" w:space="0" w:color="008000"/>
            </w:tcBorders>
            <w:shd w:val="clear" w:color="auto" w:fill="FFFFFF"/>
          </w:tcPr>
          <w:p w14:paraId="3FFFF305" w14:textId="20674605" w:rsidR="00F93FC3" w:rsidRPr="000553EC" w:rsidRDefault="00F93FC3" w:rsidP="008A70EC">
            <w:pPr>
              <w:pStyle w:val="CETBodytext"/>
              <w:rPr>
                <w:lang w:val="en-GB"/>
              </w:rPr>
            </w:pPr>
            <w:r w:rsidRPr="000553EC">
              <w:rPr>
                <w:lang w:val="en-GB"/>
              </w:rPr>
              <w:t>P</w:t>
            </w:r>
            <w:r w:rsidRPr="000553EC">
              <w:rPr>
                <w:vertAlign w:val="subscript"/>
                <w:lang w:val="en-GB"/>
              </w:rPr>
              <w:t>sat</w:t>
            </w:r>
            <w:r w:rsidRPr="000553EC">
              <w:rPr>
                <w:lang w:val="en-GB"/>
              </w:rPr>
              <w:t xml:space="preserve"> (AP)</w:t>
            </w:r>
            <w:r w:rsidR="005E1EAE" w:rsidRPr="000553EC">
              <w:rPr>
                <w:lang w:val="en-GB"/>
              </w:rPr>
              <w:t xml:space="preserve"> [bar]</w:t>
            </w:r>
          </w:p>
        </w:tc>
        <w:tc>
          <w:tcPr>
            <w:tcW w:w="1814" w:type="dxa"/>
            <w:tcBorders>
              <w:top w:val="single" w:sz="12" w:space="0" w:color="008000"/>
              <w:bottom w:val="single" w:sz="6" w:space="0" w:color="008000"/>
            </w:tcBorders>
            <w:shd w:val="clear" w:color="auto" w:fill="FFFFFF"/>
          </w:tcPr>
          <w:p w14:paraId="591AE9DF" w14:textId="3FE3DCE3" w:rsidR="00F93FC3" w:rsidRPr="000553EC" w:rsidRDefault="00F93FC3" w:rsidP="008A70EC">
            <w:pPr>
              <w:pStyle w:val="CETBodytext"/>
              <w:rPr>
                <w:lang w:val="en-GB"/>
              </w:rPr>
            </w:pPr>
            <w:r w:rsidRPr="000553EC">
              <w:rPr>
                <w:lang w:val="en-GB"/>
              </w:rPr>
              <w:t>P</w:t>
            </w:r>
            <w:r w:rsidRPr="000553EC">
              <w:rPr>
                <w:vertAlign w:val="subscript"/>
                <w:lang w:val="en-GB"/>
              </w:rPr>
              <w:t>sat</w:t>
            </w:r>
            <w:r w:rsidRPr="000553EC">
              <w:rPr>
                <w:lang w:val="en-GB"/>
              </w:rPr>
              <w:t xml:space="preserve"> (PRLD)</w:t>
            </w:r>
            <w:r w:rsidR="005E1EAE" w:rsidRPr="000553EC">
              <w:rPr>
                <w:lang w:val="en-GB"/>
              </w:rPr>
              <w:t xml:space="preserve"> [bar]</w:t>
            </w:r>
          </w:p>
        </w:tc>
        <w:tc>
          <w:tcPr>
            <w:tcW w:w="1814" w:type="dxa"/>
            <w:tcBorders>
              <w:top w:val="single" w:sz="12" w:space="0" w:color="008000"/>
              <w:bottom w:val="single" w:sz="6" w:space="0" w:color="008000"/>
            </w:tcBorders>
            <w:shd w:val="clear" w:color="auto" w:fill="FFFFFF"/>
          </w:tcPr>
          <w:p w14:paraId="788AEECB" w14:textId="3C19E4C0" w:rsidR="00F93FC3" w:rsidRPr="000553EC" w:rsidRDefault="00F93FC3" w:rsidP="008A70EC">
            <w:pPr>
              <w:pStyle w:val="CETBodytext"/>
              <w:ind w:right="-1"/>
              <w:rPr>
                <w:rFonts w:cs="Arial"/>
                <w:szCs w:val="18"/>
                <w:lang w:val="en-GB"/>
              </w:rPr>
            </w:pPr>
            <w:r w:rsidRPr="000553EC">
              <w:rPr>
                <w:lang w:val="en-GB"/>
              </w:rPr>
              <w:t>He (CO</w:t>
            </w:r>
            <w:r w:rsidRPr="000553EC">
              <w:rPr>
                <w:vertAlign w:val="subscript"/>
                <w:lang w:val="en-GB"/>
              </w:rPr>
              <w:t>2</w:t>
            </w:r>
            <w:r w:rsidRPr="000553EC">
              <w:rPr>
                <w:lang w:val="en-GB"/>
              </w:rPr>
              <w:t>-AP)</w:t>
            </w:r>
            <w:r w:rsidR="005E1EAE" w:rsidRPr="000553EC">
              <w:rPr>
                <w:lang w:val="en-GB"/>
              </w:rPr>
              <w:t xml:space="preserve"> [kPa]</w:t>
            </w:r>
          </w:p>
        </w:tc>
        <w:tc>
          <w:tcPr>
            <w:tcW w:w="1814" w:type="dxa"/>
            <w:tcBorders>
              <w:top w:val="single" w:sz="12" w:space="0" w:color="008000"/>
              <w:bottom w:val="single" w:sz="6" w:space="0" w:color="008000"/>
            </w:tcBorders>
            <w:shd w:val="clear" w:color="auto" w:fill="FFFFFF"/>
          </w:tcPr>
          <w:p w14:paraId="04F7D956" w14:textId="04C72755" w:rsidR="00F93FC3" w:rsidRPr="000553EC" w:rsidRDefault="00F93FC3" w:rsidP="008A70EC">
            <w:pPr>
              <w:pStyle w:val="CETBodytext"/>
              <w:ind w:right="-1"/>
              <w:rPr>
                <w:rFonts w:cs="Arial"/>
                <w:szCs w:val="18"/>
                <w:lang w:val="en-GB"/>
              </w:rPr>
            </w:pPr>
            <w:r w:rsidRPr="000553EC">
              <w:rPr>
                <w:lang w:val="en-GB"/>
              </w:rPr>
              <w:t>He</w:t>
            </w:r>
            <w:r w:rsidR="005E1EAE" w:rsidRPr="000553EC">
              <w:rPr>
                <w:lang w:val="en-GB"/>
              </w:rPr>
              <w:t xml:space="preserve"> </w:t>
            </w:r>
            <w:r w:rsidRPr="000553EC">
              <w:rPr>
                <w:lang w:val="en-GB"/>
              </w:rPr>
              <w:t>(CO</w:t>
            </w:r>
            <w:r w:rsidRPr="000553EC">
              <w:rPr>
                <w:vertAlign w:val="subscript"/>
                <w:lang w:val="en-GB"/>
              </w:rPr>
              <w:t>2</w:t>
            </w:r>
            <w:r w:rsidRPr="000553EC">
              <w:rPr>
                <w:lang w:val="en-GB"/>
              </w:rPr>
              <w:t>-PRLD)</w:t>
            </w:r>
            <w:r w:rsidR="005E1EAE" w:rsidRPr="000553EC">
              <w:rPr>
                <w:lang w:val="en-GB"/>
              </w:rPr>
              <w:t xml:space="preserve"> [kPa]</w:t>
            </w:r>
          </w:p>
        </w:tc>
      </w:tr>
      <w:tr w:rsidR="00F93FC3" w:rsidRPr="000553EC" w14:paraId="0B0EB9C9" w14:textId="77777777" w:rsidTr="005E1EAE">
        <w:tc>
          <w:tcPr>
            <w:tcW w:w="1134" w:type="dxa"/>
            <w:shd w:val="clear" w:color="auto" w:fill="FFFFFF"/>
          </w:tcPr>
          <w:p w14:paraId="703BCBA6" w14:textId="77777777" w:rsidR="00F93FC3" w:rsidRPr="000553EC" w:rsidRDefault="00F93FC3" w:rsidP="00F93FC3">
            <w:pPr>
              <w:pStyle w:val="CETBodytext"/>
              <w:rPr>
                <w:lang w:val="en-GB"/>
              </w:rPr>
            </w:pPr>
            <w:r w:rsidRPr="000553EC">
              <w:rPr>
                <w:lang w:val="en-GB"/>
              </w:rPr>
              <w:t>A</w:t>
            </w:r>
          </w:p>
        </w:tc>
        <w:tc>
          <w:tcPr>
            <w:tcW w:w="1814" w:type="dxa"/>
            <w:shd w:val="clear" w:color="auto" w:fill="FFFFFF"/>
          </w:tcPr>
          <w:p w14:paraId="410088BB" w14:textId="32259749" w:rsidR="00F93FC3" w:rsidRPr="000553EC" w:rsidRDefault="00F93FC3" w:rsidP="00F93FC3">
            <w:pPr>
              <w:pStyle w:val="CETBodytext"/>
              <w:rPr>
                <w:lang w:val="en-GB"/>
              </w:rPr>
            </w:pPr>
            <w:r w:rsidRPr="000553EC">
              <w:t>11.9628</w:t>
            </w:r>
          </w:p>
        </w:tc>
        <w:tc>
          <w:tcPr>
            <w:tcW w:w="1814" w:type="dxa"/>
            <w:shd w:val="clear" w:color="auto" w:fill="FFFFFF"/>
          </w:tcPr>
          <w:p w14:paraId="4C8A374A" w14:textId="34656E29" w:rsidR="00F93FC3" w:rsidRPr="000553EC" w:rsidRDefault="00F93FC3" w:rsidP="00F93FC3">
            <w:pPr>
              <w:pStyle w:val="CETBodytext"/>
              <w:rPr>
                <w:lang w:val="en-GB"/>
              </w:rPr>
            </w:pPr>
            <w:r w:rsidRPr="000553EC">
              <w:t>20.3877</w:t>
            </w:r>
          </w:p>
        </w:tc>
        <w:tc>
          <w:tcPr>
            <w:tcW w:w="1814" w:type="dxa"/>
            <w:shd w:val="clear" w:color="auto" w:fill="FFFFFF"/>
          </w:tcPr>
          <w:p w14:paraId="6D77E50D" w14:textId="3FF4484D" w:rsidR="00F93FC3" w:rsidRPr="000553EC" w:rsidRDefault="00F93FC3" w:rsidP="00F93FC3">
            <w:pPr>
              <w:pStyle w:val="CETBodytext"/>
              <w:ind w:right="-1"/>
              <w:rPr>
                <w:rFonts w:cs="Arial"/>
                <w:szCs w:val="18"/>
                <w:lang w:val="en-GB"/>
              </w:rPr>
            </w:pPr>
            <w:r w:rsidRPr="000553EC">
              <w:t>-54.6317</w:t>
            </w:r>
          </w:p>
        </w:tc>
        <w:tc>
          <w:tcPr>
            <w:tcW w:w="1814" w:type="dxa"/>
            <w:shd w:val="clear" w:color="auto" w:fill="FFFFFF"/>
          </w:tcPr>
          <w:p w14:paraId="2B9B1564" w14:textId="2943E203" w:rsidR="00F93FC3" w:rsidRPr="000553EC" w:rsidRDefault="00F93FC3" w:rsidP="00F93FC3">
            <w:pPr>
              <w:pStyle w:val="CETBodytext"/>
              <w:ind w:right="-1"/>
              <w:rPr>
                <w:rFonts w:cs="Arial"/>
                <w:szCs w:val="18"/>
                <w:lang w:val="en-GB"/>
              </w:rPr>
            </w:pPr>
            <w:r w:rsidRPr="000553EC">
              <w:t>10.9911</w:t>
            </w:r>
          </w:p>
        </w:tc>
      </w:tr>
      <w:tr w:rsidR="00F93FC3" w:rsidRPr="000553EC" w14:paraId="2364D9A2" w14:textId="77777777" w:rsidTr="005E1EAE">
        <w:tc>
          <w:tcPr>
            <w:tcW w:w="1134" w:type="dxa"/>
            <w:shd w:val="clear" w:color="auto" w:fill="FFFFFF"/>
          </w:tcPr>
          <w:p w14:paraId="4EFA18E1" w14:textId="77777777" w:rsidR="00F93FC3" w:rsidRPr="000553EC" w:rsidRDefault="00F93FC3" w:rsidP="00F93FC3">
            <w:pPr>
              <w:pStyle w:val="CETBodytext"/>
              <w:ind w:right="-1"/>
              <w:rPr>
                <w:rFonts w:cs="Arial"/>
                <w:szCs w:val="18"/>
                <w:lang w:val="en-GB"/>
              </w:rPr>
            </w:pPr>
            <w:r w:rsidRPr="000553EC">
              <w:rPr>
                <w:rFonts w:cs="Arial"/>
                <w:szCs w:val="18"/>
                <w:lang w:val="en-GB"/>
              </w:rPr>
              <w:t>B</w:t>
            </w:r>
          </w:p>
        </w:tc>
        <w:tc>
          <w:tcPr>
            <w:tcW w:w="1814" w:type="dxa"/>
            <w:shd w:val="clear" w:color="auto" w:fill="FFFFFF"/>
          </w:tcPr>
          <w:p w14:paraId="6B9946CD" w14:textId="444F055E" w:rsidR="00F93FC3" w:rsidRPr="000553EC" w:rsidRDefault="00F93FC3" w:rsidP="00F93FC3">
            <w:pPr>
              <w:pStyle w:val="CETBodytext"/>
              <w:ind w:right="-1"/>
              <w:rPr>
                <w:rFonts w:cs="Arial"/>
                <w:szCs w:val="18"/>
                <w:lang w:val="en-GB"/>
              </w:rPr>
            </w:pPr>
            <w:r w:rsidRPr="000553EC">
              <w:t>-4482.90</w:t>
            </w:r>
          </w:p>
        </w:tc>
        <w:tc>
          <w:tcPr>
            <w:tcW w:w="1814" w:type="dxa"/>
            <w:shd w:val="clear" w:color="auto" w:fill="FFFFFF"/>
          </w:tcPr>
          <w:p w14:paraId="723E2938" w14:textId="5A91227C" w:rsidR="00F93FC3" w:rsidRPr="000553EC" w:rsidRDefault="00F93FC3" w:rsidP="00F93FC3">
            <w:pPr>
              <w:pStyle w:val="CETBodytext"/>
              <w:ind w:right="-1"/>
              <w:rPr>
                <w:rFonts w:cs="Arial"/>
                <w:szCs w:val="18"/>
                <w:lang w:val="en-GB"/>
              </w:rPr>
            </w:pPr>
            <w:r w:rsidRPr="000553EC">
              <w:t>-12733.55</w:t>
            </w:r>
          </w:p>
        </w:tc>
        <w:tc>
          <w:tcPr>
            <w:tcW w:w="1814" w:type="dxa"/>
            <w:shd w:val="clear" w:color="auto" w:fill="FFFFFF"/>
          </w:tcPr>
          <w:p w14:paraId="55C04832" w14:textId="5AE7CE23" w:rsidR="00F93FC3" w:rsidRPr="000553EC" w:rsidRDefault="00F93FC3" w:rsidP="00F93FC3">
            <w:pPr>
              <w:pStyle w:val="CETBodytext"/>
              <w:ind w:right="-1"/>
              <w:rPr>
                <w:rFonts w:cs="Arial"/>
                <w:szCs w:val="18"/>
                <w:lang w:val="en-GB"/>
              </w:rPr>
            </w:pPr>
            <w:r w:rsidRPr="000553EC">
              <w:t>-2.0334</w:t>
            </w:r>
          </w:p>
        </w:tc>
        <w:tc>
          <w:tcPr>
            <w:tcW w:w="1814" w:type="dxa"/>
            <w:shd w:val="clear" w:color="auto" w:fill="FFFFFF"/>
          </w:tcPr>
          <w:p w14:paraId="4C9E93EF" w14:textId="095F968D" w:rsidR="00F93FC3" w:rsidRPr="000553EC" w:rsidRDefault="00F93FC3" w:rsidP="00F93FC3">
            <w:pPr>
              <w:pStyle w:val="CETBodytext"/>
              <w:ind w:right="-1"/>
              <w:rPr>
                <w:rFonts w:cs="Arial"/>
                <w:szCs w:val="18"/>
                <w:lang w:val="en-GB"/>
              </w:rPr>
            </w:pPr>
            <w:r w:rsidRPr="000553EC">
              <w:t>0.3802</w:t>
            </w:r>
          </w:p>
        </w:tc>
      </w:tr>
      <w:tr w:rsidR="00F93FC3" w:rsidRPr="000553EC" w14:paraId="33918BFB" w14:textId="77777777" w:rsidTr="005E1EAE">
        <w:tc>
          <w:tcPr>
            <w:tcW w:w="1134" w:type="dxa"/>
            <w:shd w:val="clear" w:color="auto" w:fill="FFFFFF"/>
          </w:tcPr>
          <w:p w14:paraId="6EFDDE89" w14:textId="77777777" w:rsidR="00F93FC3" w:rsidRPr="000553EC" w:rsidRDefault="00F93FC3" w:rsidP="00F93FC3">
            <w:pPr>
              <w:pStyle w:val="CETBodytext"/>
              <w:ind w:right="-1"/>
              <w:rPr>
                <w:rFonts w:cs="Arial"/>
                <w:szCs w:val="18"/>
                <w:lang w:val="en-GB"/>
              </w:rPr>
            </w:pPr>
            <w:r w:rsidRPr="000553EC">
              <w:rPr>
                <w:rFonts w:cs="Arial"/>
                <w:szCs w:val="18"/>
                <w:lang w:val="en-GB"/>
              </w:rPr>
              <w:t>C</w:t>
            </w:r>
          </w:p>
        </w:tc>
        <w:tc>
          <w:tcPr>
            <w:tcW w:w="1814" w:type="dxa"/>
            <w:shd w:val="clear" w:color="auto" w:fill="FFFFFF"/>
          </w:tcPr>
          <w:p w14:paraId="1C4F20F0" w14:textId="2981A0F1" w:rsidR="00F93FC3" w:rsidRPr="000553EC" w:rsidRDefault="00F93FC3" w:rsidP="00F93FC3">
            <w:pPr>
              <w:pStyle w:val="CETBodytext"/>
              <w:ind w:right="-1"/>
              <w:rPr>
                <w:rFonts w:cs="Arial"/>
                <w:szCs w:val="18"/>
                <w:lang w:val="en-GB"/>
              </w:rPr>
            </w:pPr>
            <w:r w:rsidRPr="000553EC">
              <w:t>-85.50</w:t>
            </w:r>
          </w:p>
        </w:tc>
        <w:tc>
          <w:tcPr>
            <w:tcW w:w="1814" w:type="dxa"/>
            <w:shd w:val="clear" w:color="auto" w:fill="FFFFFF"/>
          </w:tcPr>
          <w:p w14:paraId="22AF51B5" w14:textId="4262A276" w:rsidR="00F93FC3" w:rsidRPr="000553EC" w:rsidRDefault="00F93FC3" w:rsidP="00F93FC3">
            <w:pPr>
              <w:pStyle w:val="CETBodytext"/>
              <w:ind w:right="-1"/>
              <w:rPr>
                <w:rFonts w:cs="Arial"/>
                <w:szCs w:val="18"/>
                <w:lang w:val="en-GB"/>
              </w:rPr>
            </w:pPr>
            <w:r w:rsidRPr="000553EC">
              <w:t>171.53</w:t>
            </w:r>
          </w:p>
        </w:tc>
        <w:tc>
          <w:tcPr>
            <w:tcW w:w="1814" w:type="dxa"/>
            <w:shd w:val="clear" w:color="auto" w:fill="FFFFFF"/>
          </w:tcPr>
          <w:p w14:paraId="3ADE6146" w14:textId="56F69CC3" w:rsidR="00F93FC3" w:rsidRPr="000553EC" w:rsidRDefault="00F93FC3" w:rsidP="00F93FC3">
            <w:pPr>
              <w:pStyle w:val="CETBodytext"/>
              <w:ind w:right="-1"/>
              <w:rPr>
                <w:rFonts w:cs="Arial"/>
                <w:szCs w:val="18"/>
                <w:lang w:val="en-GB"/>
              </w:rPr>
            </w:pPr>
            <w:r w:rsidRPr="000553EC">
              <w:t>12.1097</w:t>
            </w:r>
          </w:p>
        </w:tc>
        <w:tc>
          <w:tcPr>
            <w:tcW w:w="1814" w:type="dxa"/>
            <w:shd w:val="clear" w:color="auto" w:fill="FFFFFF"/>
          </w:tcPr>
          <w:p w14:paraId="00469014" w14:textId="556F1AC8" w:rsidR="00F93FC3" w:rsidRPr="000553EC" w:rsidRDefault="00F93FC3" w:rsidP="00F93FC3">
            <w:pPr>
              <w:pStyle w:val="CETBodytext"/>
              <w:ind w:right="-1"/>
              <w:rPr>
                <w:rFonts w:cs="Arial"/>
                <w:szCs w:val="18"/>
                <w:lang w:val="en-GB"/>
              </w:rPr>
            </w:pPr>
            <w:r w:rsidRPr="000553EC">
              <w:t>-1.1906</w:t>
            </w:r>
          </w:p>
        </w:tc>
      </w:tr>
      <w:tr w:rsidR="00F93FC3" w:rsidRPr="00B57B36" w14:paraId="4AE25210" w14:textId="77777777" w:rsidTr="005E1EAE">
        <w:tc>
          <w:tcPr>
            <w:tcW w:w="1134" w:type="dxa"/>
            <w:shd w:val="clear" w:color="auto" w:fill="FFFFFF"/>
          </w:tcPr>
          <w:p w14:paraId="71B3E889" w14:textId="472CF00F" w:rsidR="00F93FC3" w:rsidRPr="000553EC" w:rsidRDefault="00F93FC3" w:rsidP="00F93FC3">
            <w:pPr>
              <w:pStyle w:val="CETBodytext"/>
              <w:ind w:right="-1"/>
              <w:rPr>
                <w:rFonts w:cs="Arial"/>
                <w:szCs w:val="18"/>
                <w:lang w:val="en-GB"/>
              </w:rPr>
            </w:pPr>
            <w:r w:rsidRPr="000553EC">
              <w:rPr>
                <w:rFonts w:cs="Arial"/>
                <w:szCs w:val="18"/>
                <w:lang w:val="en-GB"/>
              </w:rPr>
              <w:t>D</w:t>
            </w:r>
          </w:p>
        </w:tc>
        <w:tc>
          <w:tcPr>
            <w:tcW w:w="1814" w:type="dxa"/>
            <w:shd w:val="clear" w:color="auto" w:fill="FFFFFF"/>
          </w:tcPr>
          <w:p w14:paraId="1DECC423" w14:textId="32D4DBBA" w:rsidR="00F93FC3" w:rsidRPr="000553EC" w:rsidRDefault="00F93FC3" w:rsidP="00F93FC3">
            <w:pPr>
              <w:pStyle w:val="CETBodytext"/>
              <w:ind w:right="-1"/>
              <w:rPr>
                <w:rFonts w:cs="Arial"/>
                <w:szCs w:val="18"/>
                <w:lang w:val="en-GB"/>
              </w:rPr>
            </w:pPr>
          </w:p>
        </w:tc>
        <w:tc>
          <w:tcPr>
            <w:tcW w:w="1814" w:type="dxa"/>
            <w:shd w:val="clear" w:color="auto" w:fill="FFFFFF"/>
          </w:tcPr>
          <w:p w14:paraId="1F2D29A4" w14:textId="77CE44CF" w:rsidR="00F93FC3" w:rsidRPr="000553EC" w:rsidRDefault="00F93FC3" w:rsidP="00F93FC3">
            <w:pPr>
              <w:pStyle w:val="CETBodytext"/>
              <w:ind w:right="-1"/>
              <w:rPr>
                <w:rFonts w:cs="Arial"/>
                <w:szCs w:val="18"/>
                <w:lang w:val="en-GB"/>
              </w:rPr>
            </w:pPr>
          </w:p>
        </w:tc>
        <w:tc>
          <w:tcPr>
            <w:tcW w:w="1814" w:type="dxa"/>
            <w:shd w:val="clear" w:color="auto" w:fill="FFFFFF"/>
          </w:tcPr>
          <w:p w14:paraId="22A33187" w14:textId="7882A15E" w:rsidR="00F93FC3" w:rsidRPr="000553EC" w:rsidRDefault="00F93FC3" w:rsidP="00F93FC3">
            <w:pPr>
              <w:pStyle w:val="CETBodytext"/>
              <w:ind w:right="-1"/>
              <w:rPr>
                <w:rFonts w:cs="Arial"/>
                <w:szCs w:val="18"/>
                <w:lang w:val="en-GB"/>
              </w:rPr>
            </w:pPr>
            <w:r w:rsidRPr="000553EC">
              <w:t>-0.0213</w:t>
            </w:r>
          </w:p>
        </w:tc>
        <w:tc>
          <w:tcPr>
            <w:tcW w:w="1814" w:type="dxa"/>
            <w:shd w:val="clear" w:color="auto" w:fill="FFFFFF"/>
          </w:tcPr>
          <w:p w14:paraId="69AFBD51" w14:textId="57D6F052" w:rsidR="00F93FC3" w:rsidRPr="00B57B36" w:rsidRDefault="00F93FC3" w:rsidP="00F93FC3">
            <w:pPr>
              <w:pStyle w:val="CETBodytext"/>
              <w:ind w:right="-1"/>
              <w:rPr>
                <w:rFonts w:cs="Arial"/>
                <w:szCs w:val="18"/>
                <w:lang w:val="en-GB"/>
              </w:rPr>
            </w:pPr>
            <w:r w:rsidRPr="000553EC">
              <w:t>0.0130</w:t>
            </w:r>
          </w:p>
        </w:tc>
      </w:tr>
    </w:tbl>
    <w:p w14:paraId="6A675950" w14:textId="77777777" w:rsidR="00BF6973" w:rsidRDefault="00BF6973" w:rsidP="000553EC">
      <w:pPr>
        <w:pStyle w:val="CETheadingx"/>
        <w:numPr>
          <w:ilvl w:val="0"/>
          <w:numId w:val="0"/>
        </w:numPr>
      </w:pPr>
    </w:p>
    <w:p w14:paraId="72D4AFF0" w14:textId="37FC7027" w:rsidR="00E5532C" w:rsidRPr="0059236F" w:rsidRDefault="00E5532C" w:rsidP="000553EC">
      <w:pPr>
        <w:pStyle w:val="CETheadingx"/>
      </w:pPr>
      <w:r>
        <w:t>Molecule-molecule and molecule-ion interaction coefficients</w:t>
      </w:r>
    </w:p>
    <w:p w14:paraId="250D3978" w14:textId="41EF3B32" w:rsidR="00770E6B" w:rsidRPr="00E5532C" w:rsidRDefault="009D5364" w:rsidP="00BD077D">
      <w:pPr>
        <w:pStyle w:val="CETCaption"/>
        <w:rPr>
          <w:i w:val="0"/>
        </w:rPr>
      </w:pPr>
      <w:r>
        <w:rPr>
          <w:i w:val="0"/>
        </w:rPr>
        <w:t>Equilibrium conditions in absence of CO</w:t>
      </w:r>
      <w:r w:rsidRPr="006A0FA1">
        <w:rPr>
          <w:i w:val="0"/>
          <w:vertAlign w:val="subscript"/>
        </w:rPr>
        <w:t>2</w:t>
      </w:r>
      <w:r>
        <w:rPr>
          <w:i w:val="0"/>
        </w:rPr>
        <w:t xml:space="preserve"> are described by means of molecule-molecule interaction parameters</w:t>
      </w:r>
      <w:r w:rsidR="008F6594">
        <w:rPr>
          <w:i w:val="0"/>
        </w:rPr>
        <w:t xml:space="preserve"> (NRTL)</w:t>
      </w:r>
      <w:r>
        <w:rPr>
          <w:i w:val="0"/>
        </w:rPr>
        <w:t>.</w:t>
      </w:r>
      <w:r w:rsidR="008F6594">
        <w:rPr>
          <w:i w:val="0"/>
        </w:rPr>
        <w:t xml:space="preserve"> For HS3 blend, </w:t>
      </w:r>
      <w:r w:rsidR="008F6594" w:rsidRPr="008F6594">
        <w:rPr>
          <w:i w:val="0"/>
        </w:rPr>
        <w:t>t</w:t>
      </w:r>
      <w:r w:rsidR="008F6594">
        <w:rPr>
          <w:i w:val="0"/>
        </w:rPr>
        <w:t xml:space="preserve">hese </w:t>
      </w:r>
      <w:r w:rsidR="008F6594" w:rsidRPr="008F6594">
        <w:rPr>
          <w:i w:val="0"/>
        </w:rPr>
        <w:t>parameters had already been fitted on</w:t>
      </w:r>
      <w:r w:rsidR="006A0FA1">
        <w:rPr>
          <w:i w:val="0"/>
        </w:rPr>
        <w:t xml:space="preserve"> binary</w:t>
      </w:r>
      <w:r w:rsidR="008F6594" w:rsidRPr="008F6594">
        <w:rPr>
          <w:i w:val="0"/>
        </w:rPr>
        <w:t xml:space="preserve"> PRLD-H</w:t>
      </w:r>
      <w:r w:rsidR="008F6594" w:rsidRPr="008F6594">
        <w:rPr>
          <w:i w:val="0"/>
          <w:vertAlign w:val="subscript"/>
        </w:rPr>
        <w:t>2</w:t>
      </w:r>
      <w:r w:rsidR="008F6594" w:rsidRPr="008F6594">
        <w:rPr>
          <w:i w:val="0"/>
        </w:rPr>
        <w:t xml:space="preserve">O VLE data by Bernhardsen </w:t>
      </w:r>
      <w:sdt>
        <w:sdtPr>
          <w:rPr>
            <w:i w:val="0"/>
          </w:rPr>
          <w:tag w:val="MENDELEY_CITATION_v3_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"/>
          <w:id w:val="14123300"/>
          <w:placeholder>
            <w:docPart w:val="0907F5D68AD74BA2909EF44157C5233F"/>
          </w:placeholder>
        </w:sdtPr>
        <w:sdtContent>
          <w:r w:rsidR="008F6594" w:rsidRPr="008F6594">
            <w:rPr>
              <w:i w:val="0"/>
            </w:rPr>
            <w:t>(Bernhardsen et al., 2019)</w:t>
          </w:r>
        </w:sdtContent>
      </w:sdt>
      <w:r w:rsidR="008F6594" w:rsidRPr="008F6594">
        <w:rPr>
          <w:i w:val="0"/>
        </w:rPr>
        <w:t xml:space="preserve"> and on AP-H</w:t>
      </w:r>
      <w:r w:rsidR="008F6594" w:rsidRPr="001A0EE2">
        <w:rPr>
          <w:i w:val="0"/>
          <w:vertAlign w:val="subscript"/>
        </w:rPr>
        <w:t>2</w:t>
      </w:r>
      <w:r w:rsidR="008F6594" w:rsidRPr="008F6594">
        <w:rPr>
          <w:i w:val="0"/>
        </w:rPr>
        <w:t xml:space="preserve">O data by Bunevska </w:t>
      </w:r>
      <w:sdt>
        <w:sdtPr>
          <w:rPr>
            <w:i w:val="0"/>
          </w:rPr>
          <w:tag w:val="MENDELEY_CITATION_v3_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"/>
          <w:id w:val="675777989"/>
          <w:placeholder>
            <w:docPart w:val="0907F5D68AD74BA2909EF44157C5233F"/>
          </w:placeholder>
        </w:sdtPr>
        <w:sdtContent>
          <w:r w:rsidR="008F6594" w:rsidRPr="008F6594">
            <w:rPr>
              <w:i w:val="0"/>
            </w:rPr>
            <w:t>(Bunevska, 2021)</w:t>
          </w:r>
        </w:sdtContent>
      </w:sdt>
      <w:r w:rsidR="008F6594" w:rsidRPr="008F6594">
        <w:rPr>
          <w:i w:val="0"/>
        </w:rPr>
        <w:t>.</w:t>
      </w:r>
      <w:r w:rsidR="008F6594">
        <w:rPr>
          <w:i w:val="0"/>
        </w:rPr>
        <w:t xml:space="preserve"> </w:t>
      </w:r>
      <w:r w:rsidR="00B770E3">
        <w:rPr>
          <w:i w:val="0"/>
        </w:rPr>
        <w:t xml:space="preserve">Both </w:t>
      </w:r>
      <w:r w:rsidR="0022229E">
        <w:rPr>
          <w:i w:val="0"/>
        </w:rPr>
        <w:t>temperature-dependent</w:t>
      </w:r>
      <w:r w:rsidR="00B770E3">
        <w:rPr>
          <w:i w:val="0"/>
        </w:rPr>
        <w:t xml:space="preserve"> (</w:t>
      </w:r>
      <w:r w:rsidR="00F000AD">
        <w:rPr>
          <w:i w:val="0"/>
        </w:rPr>
        <w:t>A</w:t>
      </w:r>
      <w:r w:rsidR="00F000AD" w:rsidRPr="00F000AD">
        <w:rPr>
          <w:i w:val="0"/>
          <w:vertAlign w:val="subscript"/>
        </w:rPr>
        <w:t>ij</w:t>
      </w:r>
      <w:r w:rsidR="00F000AD">
        <w:rPr>
          <w:i w:val="0"/>
        </w:rPr>
        <w:t xml:space="preserve"> and reverse A</w:t>
      </w:r>
      <w:r w:rsidR="00F000AD" w:rsidRPr="00F000AD">
        <w:rPr>
          <w:i w:val="0"/>
          <w:vertAlign w:val="subscript"/>
        </w:rPr>
        <w:t>ji</w:t>
      </w:r>
      <w:r w:rsidR="00B770E3">
        <w:rPr>
          <w:i w:val="0"/>
        </w:rPr>
        <w:t xml:space="preserve">) </w:t>
      </w:r>
      <w:r w:rsidR="00B357B6">
        <w:rPr>
          <w:i w:val="0"/>
        </w:rPr>
        <w:t>and temperature-</w:t>
      </w:r>
      <w:r w:rsidR="001D26F9">
        <w:rPr>
          <w:i w:val="0"/>
        </w:rPr>
        <w:t>non-dependent</w:t>
      </w:r>
      <w:r w:rsidR="00B770E3">
        <w:rPr>
          <w:i w:val="0"/>
        </w:rPr>
        <w:t xml:space="preserve"> (</w:t>
      </w:r>
      <w:r w:rsidR="00F000AD">
        <w:rPr>
          <w:i w:val="0"/>
        </w:rPr>
        <w:t>B</w:t>
      </w:r>
      <w:r w:rsidR="00F000AD" w:rsidRPr="00F000AD">
        <w:rPr>
          <w:i w:val="0"/>
          <w:vertAlign w:val="subscript"/>
        </w:rPr>
        <w:t>ij</w:t>
      </w:r>
      <w:r w:rsidR="00F000AD">
        <w:rPr>
          <w:i w:val="0"/>
        </w:rPr>
        <w:t xml:space="preserve"> and reverse</w:t>
      </w:r>
      <w:r w:rsidR="00B770E3">
        <w:rPr>
          <w:i w:val="0"/>
        </w:rPr>
        <w:t>) m</w:t>
      </w:r>
      <w:r w:rsidR="006A0FA1">
        <w:rPr>
          <w:i w:val="0"/>
        </w:rPr>
        <w:t>olecule-ions interaction parameters are regressed in this work using the “Maximum likelihood” regression tool in Aspen Plus V11.0</w:t>
      </w:r>
      <w:r w:rsidR="006A0FA1" w:rsidRPr="006A0FA1">
        <w:t xml:space="preserve"> </w:t>
      </w:r>
      <w:r w:rsidR="00280CD1">
        <w:rPr>
          <w:i w:val="0"/>
        </w:rPr>
        <w:t>by</w:t>
      </w:r>
      <w:r w:rsidR="006A0FA1" w:rsidRPr="006A0FA1">
        <w:rPr>
          <w:i w:val="0"/>
        </w:rPr>
        <w:t xml:space="preserve"> </w:t>
      </w:r>
      <w:r w:rsidR="00280CD1">
        <w:rPr>
          <w:i w:val="0"/>
        </w:rPr>
        <w:t>minimising</w:t>
      </w:r>
      <w:r w:rsidR="006A0FA1" w:rsidRPr="006A0FA1">
        <w:rPr>
          <w:i w:val="0"/>
        </w:rPr>
        <w:t xml:space="preserve"> the </w:t>
      </w:r>
      <w:r w:rsidR="00AA2D4A">
        <w:rPr>
          <w:i w:val="0"/>
        </w:rPr>
        <w:t>absolute deviation</w:t>
      </w:r>
      <w:r w:rsidR="006A0FA1" w:rsidRPr="006A0FA1">
        <w:rPr>
          <w:i w:val="0"/>
        </w:rPr>
        <w:t xml:space="preserve"> between experimental observations and</w:t>
      </w:r>
      <w:r w:rsidR="00AA2D4A">
        <w:rPr>
          <w:i w:val="0"/>
        </w:rPr>
        <w:t xml:space="preserve"> model prediction</w:t>
      </w:r>
      <w:r w:rsidR="00280CD1">
        <w:rPr>
          <w:i w:val="0"/>
        </w:rPr>
        <w:t xml:space="preserve"> using</w:t>
      </w:r>
      <w:r w:rsidR="00AA2D4A">
        <w:rPr>
          <w:i w:val="0"/>
        </w:rPr>
        <w:t xml:space="preserve"> VLE data for the CO</w:t>
      </w:r>
      <w:r w:rsidR="00AA2D4A" w:rsidRPr="00EC10DB">
        <w:rPr>
          <w:i w:val="0"/>
          <w:vertAlign w:val="subscript"/>
        </w:rPr>
        <w:t>2</w:t>
      </w:r>
      <w:r w:rsidR="00AA2D4A">
        <w:rPr>
          <w:i w:val="0"/>
        </w:rPr>
        <w:t>-H</w:t>
      </w:r>
      <w:r w:rsidR="00AA2D4A" w:rsidRPr="00EC10DB">
        <w:rPr>
          <w:i w:val="0"/>
          <w:vertAlign w:val="subscript"/>
        </w:rPr>
        <w:t>2</w:t>
      </w:r>
      <w:r w:rsidR="00AA2D4A">
        <w:rPr>
          <w:i w:val="0"/>
        </w:rPr>
        <w:t xml:space="preserve">O-AP-PRLD system at temperatures between 40 °C and 120 °C (Hartono et al.). </w:t>
      </w:r>
      <w:r w:rsidR="0085353F">
        <w:rPr>
          <w:i w:val="0"/>
        </w:rPr>
        <w:t xml:space="preserve">To start the regression, each parameter is set to </w:t>
      </w:r>
      <w:r w:rsidR="00280CD1">
        <w:rPr>
          <w:i w:val="0"/>
        </w:rPr>
        <w:t>the</w:t>
      </w:r>
      <w:r w:rsidR="0085353F">
        <w:rPr>
          <w:i w:val="0"/>
        </w:rPr>
        <w:t xml:space="preserve"> corresponding default values </w:t>
      </w:r>
      <w:r w:rsidR="00280CD1">
        <w:rPr>
          <w:i w:val="0"/>
        </w:rPr>
        <w:t>reported</w:t>
      </w:r>
      <w:r w:rsidR="0085353F">
        <w:rPr>
          <w:i w:val="0"/>
        </w:rPr>
        <w:t xml:space="preserve"> </w:t>
      </w:r>
      <w:r w:rsidR="00A54EFE">
        <w:rPr>
          <w:i w:val="0"/>
        </w:rPr>
        <w:t xml:space="preserve">in </w:t>
      </w:r>
      <w:r w:rsidR="00280CD1">
        <w:rPr>
          <w:i w:val="0"/>
        </w:rPr>
        <w:t xml:space="preserve">the </w:t>
      </w:r>
      <w:r w:rsidR="00A54EFE">
        <w:rPr>
          <w:i w:val="0"/>
        </w:rPr>
        <w:t xml:space="preserve">Aspen </w:t>
      </w:r>
      <w:r w:rsidR="00280CD1">
        <w:rPr>
          <w:i w:val="0"/>
        </w:rPr>
        <w:t>documentation</w:t>
      </w:r>
      <w:r w:rsidR="0085353F">
        <w:rPr>
          <w:i w:val="0"/>
        </w:rPr>
        <w:t xml:space="preserve">. </w:t>
      </w:r>
      <w:r w:rsidR="00CB59E3">
        <w:rPr>
          <w:i w:val="0"/>
        </w:rPr>
        <w:t>Interactions involving H</w:t>
      </w:r>
      <w:r w:rsidR="00CB59E3" w:rsidRPr="00F05288">
        <w:rPr>
          <w:i w:val="0"/>
          <w:vertAlign w:val="subscript"/>
        </w:rPr>
        <w:t>3</w:t>
      </w:r>
      <w:r w:rsidR="00CB59E3">
        <w:rPr>
          <w:i w:val="0"/>
        </w:rPr>
        <w:t>O</w:t>
      </w:r>
      <w:r w:rsidR="00CB59E3" w:rsidRPr="00F05288">
        <w:rPr>
          <w:i w:val="0"/>
          <w:vertAlign w:val="superscript"/>
        </w:rPr>
        <w:t>+</w:t>
      </w:r>
      <w:r w:rsidR="00CB59E3">
        <w:rPr>
          <w:i w:val="0"/>
        </w:rPr>
        <w:t>, OH</w:t>
      </w:r>
      <w:r w:rsidR="00CB59E3" w:rsidRPr="00F05288">
        <w:rPr>
          <w:i w:val="0"/>
          <w:vertAlign w:val="superscript"/>
        </w:rPr>
        <w:t>-</w:t>
      </w:r>
      <w:r w:rsidR="00CB59E3">
        <w:rPr>
          <w:i w:val="0"/>
        </w:rPr>
        <w:t xml:space="preserve"> and CO</w:t>
      </w:r>
      <w:r w:rsidR="00CB59E3" w:rsidRPr="00F05288">
        <w:rPr>
          <w:i w:val="0"/>
          <w:vertAlign w:val="subscript"/>
        </w:rPr>
        <w:t>3</w:t>
      </w:r>
      <w:r w:rsidR="00EC10DB">
        <w:rPr>
          <w:i w:val="0"/>
          <w:vertAlign w:val="superscript"/>
        </w:rPr>
        <w:t xml:space="preserve">2- </w:t>
      </w:r>
      <w:r w:rsidR="00CB59E3">
        <w:rPr>
          <w:i w:val="0"/>
        </w:rPr>
        <w:t>as cationic-ionic pairs are neglected as well as molecular CO</w:t>
      </w:r>
      <w:r w:rsidR="00CB59E3" w:rsidRPr="008558CF">
        <w:rPr>
          <w:i w:val="0"/>
          <w:vertAlign w:val="subscript"/>
        </w:rPr>
        <w:t>2</w:t>
      </w:r>
      <w:r w:rsidR="00CB59E3">
        <w:rPr>
          <w:i w:val="0"/>
        </w:rPr>
        <w:t xml:space="preserve"> </w:t>
      </w:r>
      <w:r w:rsidR="00FB6224">
        <w:rPr>
          <w:i w:val="0"/>
        </w:rPr>
        <w:t>interactions</w:t>
      </w:r>
      <w:r w:rsidR="00CB59E3">
        <w:rPr>
          <w:i w:val="0"/>
        </w:rPr>
        <w:t xml:space="preserve"> with protonated amines and carbamate to avoid overfitting and increase model robustness and stability. This assumption is justified by the fact that the mo</w:t>
      </w:r>
      <w:r w:rsidR="00EC10DB">
        <w:rPr>
          <w:i w:val="0"/>
        </w:rPr>
        <w:t>le fraction</w:t>
      </w:r>
      <w:r w:rsidR="00960A31">
        <w:rPr>
          <w:i w:val="0"/>
        </w:rPr>
        <w:t>s</w:t>
      </w:r>
      <w:r w:rsidR="00EC10DB">
        <w:rPr>
          <w:i w:val="0"/>
        </w:rPr>
        <w:t xml:space="preserve"> of </w:t>
      </w:r>
      <w:r w:rsidR="00CD0D66">
        <w:rPr>
          <w:i w:val="0"/>
        </w:rPr>
        <w:t>these species</w:t>
      </w:r>
      <w:r w:rsidR="00CB59E3">
        <w:rPr>
          <w:i w:val="0"/>
        </w:rPr>
        <w:t xml:space="preserve"> range from 10</w:t>
      </w:r>
      <w:r w:rsidR="00CB59E3" w:rsidRPr="00CB59E3">
        <w:rPr>
          <w:i w:val="0"/>
          <w:vertAlign w:val="superscript"/>
        </w:rPr>
        <w:t>-4</w:t>
      </w:r>
      <w:r w:rsidR="00CB59E3">
        <w:rPr>
          <w:i w:val="0"/>
        </w:rPr>
        <w:t xml:space="preserve"> to 10</w:t>
      </w:r>
      <w:r w:rsidR="00CB59E3" w:rsidRPr="00CB59E3">
        <w:rPr>
          <w:i w:val="0"/>
          <w:vertAlign w:val="superscript"/>
        </w:rPr>
        <w:t>-9</w:t>
      </w:r>
      <w:r w:rsidR="00CD0D66">
        <w:rPr>
          <w:i w:val="0"/>
        </w:rPr>
        <w:t xml:space="preserve"> (thus, negligible compared to other compounds)</w:t>
      </w:r>
      <w:r w:rsidR="00CB59E3">
        <w:rPr>
          <w:i w:val="0"/>
        </w:rPr>
        <w:t xml:space="preserve">. The regression is repeated iteratively using the result of the previous iteration as </w:t>
      </w:r>
      <w:r w:rsidR="00512F26">
        <w:rPr>
          <w:i w:val="0"/>
        </w:rPr>
        <w:t xml:space="preserve">the </w:t>
      </w:r>
      <w:r w:rsidR="00CB59E3">
        <w:rPr>
          <w:i w:val="0"/>
        </w:rPr>
        <w:t xml:space="preserve">initial value for the following step until the maximum observed relative discrepancy between two consecutive iterations for each parameter is lower than 5%. </w:t>
      </w:r>
      <w:r w:rsidR="00B770E3">
        <w:rPr>
          <w:i w:val="0"/>
        </w:rPr>
        <w:t>Finally, all B</w:t>
      </w:r>
      <w:r w:rsidR="00B770E3" w:rsidRPr="001D26F9">
        <w:rPr>
          <w:i w:val="0"/>
          <w:vertAlign w:val="subscript"/>
        </w:rPr>
        <w:t>ij</w:t>
      </w:r>
      <w:r w:rsidR="00B770E3">
        <w:rPr>
          <w:i w:val="0"/>
        </w:rPr>
        <w:t xml:space="preserve"> whose absolute value is lower than 50 </w:t>
      </w:r>
      <w:r w:rsidR="008558CF">
        <w:rPr>
          <w:i w:val="0"/>
        </w:rPr>
        <w:t>has</w:t>
      </w:r>
      <w:r w:rsidR="00B770E3">
        <w:rPr>
          <w:i w:val="0"/>
        </w:rPr>
        <w:t xml:space="preserve"> been disregarded to avoid increasing the model complexity without an</w:t>
      </w:r>
      <w:r w:rsidR="00960A31">
        <w:rPr>
          <w:i w:val="0"/>
        </w:rPr>
        <w:t>y</w:t>
      </w:r>
      <w:r w:rsidR="00B770E3">
        <w:rPr>
          <w:i w:val="0"/>
        </w:rPr>
        <w:t xml:space="preserve"> appreciable increase in accuracy. </w:t>
      </w:r>
      <w:r w:rsidR="00960A31">
        <w:rPr>
          <w:i w:val="0"/>
        </w:rPr>
        <w:t>The</w:t>
      </w:r>
      <w:r w:rsidR="00B357B6">
        <w:rPr>
          <w:i w:val="0"/>
        </w:rPr>
        <w:t xml:space="preserve"> obtained</w:t>
      </w:r>
      <w:r w:rsidR="00840E98">
        <w:rPr>
          <w:i w:val="0"/>
        </w:rPr>
        <w:t xml:space="preserve"> interaction coefficients are gathered in Table 3.</w:t>
      </w:r>
      <w:r w:rsidR="00B357B6">
        <w:rPr>
          <w:i w:val="0"/>
        </w:rPr>
        <w:t xml:space="preserve"> </w:t>
      </w:r>
      <w:r w:rsidR="008558CF">
        <w:rPr>
          <w:i w:val="0"/>
        </w:rPr>
        <w:t>Further</w:t>
      </w:r>
      <w:r w:rsidR="00B357B6">
        <w:rPr>
          <w:i w:val="0"/>
        </w:rPr>
        <w:t xml:space="preserve"> details on the conceptual </w:t>
      </w:r>
      <w:r w:rsidR="00B357B6" w:rsidRPr="00EC10DB">
        <w:rPr>
          <w:i w:val="0"/>
        </w:rPr>
        <w:t>meaning</w:t>
      </w:r>
      <w:r w:rsidR="003F6918" w:rsidRPr="00EC10DB">
        <w:rPr>
          <w:i w:val="0"/>
        </w:rPr>
        <w:t xml:space="preserve"> and </w:t>
      </w:r>
      <w:r w:rsidR="00B357B6" w:rsidRPr="00EC10DB">
        <w:rPr>
          <w:i w:val="0"/>
        </w:rPr>
        <w:t xml:space="preserve">the expressions of NRTL, </w:t>
      </w:r>
      <w:r w:rsidR="00F97031">
        <w:rPr>
          <w:i w:val="0"/>
        </w:rPr>
        <w:t>A</w:t>
      </w:r>
      <w:r w:rsidR="00F97031" w:rsidRPr="00F97031">
        <w:rPr>
          <w:i w:val="0"/>
          <w:vertAlign w:val="subscript"/>
        </w:rPr>
        <w:t>ij</w:t>
      </w:r>
      <w:r w:rsidR="00F97031">
        <w:rPr>
          <w:i w:val="0"/>
        </w:rPr>
        <w:t>/A</w:t>
      </w:r>
      <w:r w:rsidR="00F97031" w:rsidRPr="00F97031">
        <w:rPr>
          <w:i w:val="0"/>
          <w:vertAlign w:val="subscript"/>
        </w:rPr>
        <w:t>ji</w:t>
      </w:r>
      <w:r w:rsidR="00F97031">
        <w:rPr>
          <w:i w:val="0"/>
        </w:rPr>
        <w:t xml:space="preserve"> and B</w:t>
      </w:r>
      <w:r w:rsidR="00F97031" w:rsidRPr="00F97031">
        <w:rPr>
          <w:i w:val="0"/>
          <w:vertAlign w:val="subscript"/>
        </w:rPr>
        <w:t>ij</w:t>
      </w:r>
      <w:r w:rsidR="00F97031">
        <w:rPr>
          <w:i w:val="0"/>
        </w:rPr>
        <w:t>/B</w:t>
      </w:r>
      <w:r w:rsidR="00F97031" w:rsidRPr="00F97031">
        <w:rPr>
          <w:i w:val="0"/>
          <w:vertAlign w:val="subscript"/>
        </w:rPr>
        <w:t>ji</w:t>
      </w:r>
      <w:r w:rsidR="00B357B6" w:rsidRPr="00EC10DB">
        <w:rPr>
          <w:i w:val="0"/>
        </w:rPr>
        <w:t xml:space="preserve"> parameters can be found in the literature (Lin et al., 2010, Aspen Plus</w:t>
      </w:r>
      <w:r w:rsidR="00EC10DB" w:rsidRPr="00EC10DB">
        <w:rPr>
          <w:i w:val="0"/>
        </w:rPr>
        <w:t>, 2019</w:t>
      </w:r>
      <w:r w:rsidR="00B357B6" w:rsidRPr="00EC10DB">
        <w:rPr>
          <w:i w:val="0"/>
        </w:rPr>
        <w:t>).</w:t>
      </w:r>
    </w:p>
    <w:p w14:paraId="4916B045" w14:textId="7370E8FA" w:rsidR="003F6918" w:rsidRPr="00770E6B" w:rsidRDefault="003F6918" w:rsidP="003F6918">
      <w:pPr>
        <w:pStyle w:val="CETCaption"/>
        <w:rPr>
          <w:i w:val="0"/>
          <w:lang w:val="en-US"/>
        </w:rPr>
      </w:pPr>
      <w:r w:rsidRPr="00B57B36">
        <w:t xml:space="preserve">Table </w:t>
      </w:r>
      <w:r>
        <w:t>3</w:t>
      </w:r>
      <w:r w:rsidRPr="00B57B36">
        <w:t xml:space="preserve">: </w:t>
      </w:r>
      <w:r w:rsidR="00D85E77">
        <w:t>Molecule-ion interaction coefficients for the ELECNRTL model for HS3 solvent developed in this work</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27"/>
        <w:gridCol w:w="1823"/>
        <w:gridCol w:w="703"/>
        <w:gridCol w:w="839"/>
        <w:gridCol w:w="1127"/>
        <w:gridCol w:w="1673"/>
        <w:gridCol w:w="844"/>
        <w:gridCol w:w="651"/>
      </w:tblGrid>
      <w:tr w:rsidR="00636993" w:rsidRPr="0005333F" w14:paraId="47430038" w14:textId="6D56B9BB" w:rsidTr="001335A5">
        <w:tc>
          <w:tcPr>
            <w:tcW w:w="1127" w:type="dxa"/>
            <w:tcBorders>
              <w:top w:val="single" w:sz="12" w:space="0" w:color="008000"/>
              <w:bottom w:val="single" w:sz="6" w:space="0" w:color="008000"/>
            </w:tcBorders>
            <w:shd w:val="clear" w:color="auto" w:fill="FFFFFF"/>
          </w:tcPr>
          <w:p w14:paraId="06751EF6" w14:textId="16CB8C25" w:rsidR="00B357B6" w:rsidRPr="0005333F" w:rsidRDefault="00B357B6" w:rsidP="00B357B6">
            <w:pPr>
              <w:pStyle w:val="CETBodytext"/>
              <w:rPr>
                <w:b/>
                <w:bCs/>
                <w:lang w:val="en-GB"/>
              </w:rPr>
            </w:pPr>
            <w:r w:rsidRPr="0005333F">
              <w:rPr>
                <w:b/>
                <w:bCs/>
                <w:lang w:val="en-GB"/>
              </w:rPr>
              <w:t>Comp i</w:t>
            </w:r>
          </w:p>
        </w:tc>
        <w:tc>
          <w:tcPr>
            <w:tcW w:w="1823" w:type="dxa"/>
            <w:tcBorders>
              <w:top w:val="single" w:sz="12" w:space="0" w:color="008000"/>
              <w:bottom w:val="single" w:sz="6" w:space="0" w:color="008000"/>
            </w:tcBorders>
            <w:shd w:val="clear" w:color="auto" w:fill="FFFFFF"/>
          </w:tcPr>
          <w:p w14:paraId="56317951" w14:textId="2C9C7059" w:rsidR="00B357B6" w:rsidRPr="0005333F" w:rsidRDefault="00B357B6" w:rsidP="00B357B6">
            <w:pPr>
              <w:pStyle w:val="CETBodytext"/>
              <w:rPr>
                <w:b/>
                <w:bCs/>
                <w:lang w:val="en-GB"/>
              </w:rPr>
            </w:pPr>
            <w:r w:rsidRPr="0005333F">
              <w:rPr>
                <w:b/>
                <w:bCs/>
                <w:lang w:val="en-GB"/>
              </w:rPr>
              <w:t>Comp j</w:t>
            </w:r>
          </w:p>
        </w:tc>
        <w:tc>
          <w:tcPr>
            <w:tcW w:w="703" w:type="dxa"/>
            <w:tcBorders>
              <w:top w:val="single" w:sz="12" w:space="0" w:color="008000"/>
              <w:bottom w:val="single" w:sz="6" w:space="0" w:color="008000"/>
            </w:tcBorders>
            <w:shd w:val="clear" w:color="auto" w:fill="FFFFFF"/>
          </w:tcPr>
          <w:p w14:paraId="4307E9DF" w14:textId="3C9D598A" w:rsidR="00B357B6" w:rsidRPr="0005333F" w:rsidRDefault="00B357B6" w:rsidP="00B357B6">
            <w:pPr>
              <w:pStyle w:val="CETBodytext"/>
              <w:rPr>
                <w:b/>
                <w:bCs/>
                <w:lang w:val="en-GB"/>
              </w:rPr>
            </w:pPr>
            <w:r w:rsidRPr="0005333F">
              <w:rPr>
                <w:b/>
                <w:bCs/>
                <w:lang w:val="en-GB"/>
              </w:rPr>
              <w:t>Aij</w:t>
            </w:r>
          </w:p>
        </w:tc>
        <w:tc>
          <w:tcPr>
            <w:tcW w:w="839" w:type="dxa"/>
            <w:tcBorders>
              <w:top w:val="single" w:sz="12" w:space="0" w:color="008000"/>
              <w:bottom w:val="single" w:sz="6" w:space="0" w:color="008000"/>
            </w:tcBorders>
            <w:shd w:val="clear" w:color="auto" w:fill="FFFFFF"/>
          </w:tcPr>
          <w:p w14:paraId="21A3FADD" w14:textId="50D8CEA4" w:rsidR="00B357B6" w:rsidRPr="0005333F" w:rsidRDefault="00B357B6" w:rsidP="00B357B6">
            <w:pPr>
              <w:pStyle w:val="CETBodytext"/>
              <w:ind w:right="-1"/>
              <w:rPr>
                <w:rFonts w:cs="Arial"/>
                <w:b/>
                <w:bCs/>
                <w:szCs w:val="18"/>
                <w:lang w:val="en-GB"/>
              </w:rPr>
            </w:pPr>
            <w:r w:rsidRPr="0005333F">
              <w:rPr>
                <w:rFonts w:cs="Arial"/>
                <w:b/>
                <w:bCs/>
                <w:szCs w:val="18"/>
                <w:lang w:val="en-GB"/>
              </w:rPr>
              <w:t>Aji</w:t>
            </w:r>
          </w:p>
        </w:tc>
        <w:tc>
          <w:tcPr>
            <w:tcW w:w="1127" w:type="dxa"/>
            <w:tcBorders>
              <w:top w:val="single" w:sz="12" w:space="0" w:color="008000"/>
              <w:bottom w:val="single" w:sz="6" w:space="0" w:color="008000"/>
            </w:tcBorders>
            <w:shd w:val="clear" w:color="auto" w:fill="FFFFFF"/>
          </w:tcPr>
          <w:p w14:paraId="2ADBA483" w14:textId="38647B8A" w:rsidR="00B357B6" w:rsidRPr="0005333F" w:rsidRDefault="00B357B6" w:rsidP="00B357B6">
            <w:pPr>
              <w:pStyle w:val="CETBodytext"/>
              <w:ind w:right="-1"/>
              <w:rPr>
                <w:rFonts w:cs="Arial"/>
                <w:b/>
                <w:bCs/>
                <w:szCs w:val="18"/>
                <w:lang w:val="en-GB"/>
              </w:rPr>
            </w:pPr>
            <w:r w:rsidRPr="0005333F">
              <w:rPr>
                <w:b/>
                <w:bCs/>
                <w:lang w:val="en-GB"/>
              </w:rPr>
              <w:t>Comp i</w:t>
            </w:r>
          </w:p>
        </w:tc>
        <w:tc>
          <w:tcPr>
            <w:tcW w:w="1673" w:type="dxa"/>
            <w:tcBorders>
              <w:top w:val="single" w:sz="12" w:space="0" w:color="008000"/>
              <w:bottom w:val="single" w:sz="6" w:space="0" w:color="008000"/>
            </w:tcBorders>
            <w:shd w:val="clear" w:color="auto" w:fill="FFFFFF"/>
          </w:tcPr>
          <w:p w14:paraId="3B9C0476" w14:textId="34B1E243" w:rsidR="00B357B6" w:rsidRPr="0005333F" w:rsidRDefault="00B357B6" w:rsidP="00B357B6">
            <w:pPr>
              <w:pStyle w:val="CETBodytext"/>
              <w:ind w:right="-1"/>
              <w:rPr>
                <w:rFonts w:cs="Arial"/>
                <w:b/>
                <w:bCs/>
                <w:szCs w:val="18"/>
                <w:lang w:val="en-GB"/>
              </w:rPr>
            </w:pPr>
            <w:r w:rsidRPr="0005333F">
              <w:rPr>
                <w:b/>
                <w:bCs/>
                <w:lang w:val="en-GB"/>
              </w:rPr>
              <w:t>Comp j</w:t>
            </w:r>
          </w:p>
        </w:tc>
        <w:tc>
          <w:tcPr>
            <w:tcW w:w="844" w:type="dxa"/>
            <w:tcBorders>
              <w:top w:val="single" w:sz="12" w:space="0" w:color="008000"/>
              <w:bottom w:val="single" w:sz="6" w:space="0" w:color="008000"/>
            </w:tcBorders>
            <w:shd w:val="clear" w:color="auto" w:fill="FFFFFF"/>
          </w:tcPr>
          <w:p w14:paraId="0F545D69" w14:textId="27945F0D" w:rsidR="00B357B6" w:rsidRPr="0005333F" w:rsidRDefault="00B357B6" w:rsidP="00B357B6">
            <w:pPr>
              <w:pStyle w:val="CETBodytext"/>
              <w:ind w:right="-1"/>
              <w:rPr>
                <w:rFonts w:cs="Arial"/>
                <w:b/>
                <w:bCs/>
                <w:szCs w:val="18"/>
                <w:lang w:val="en-GB"/>
              </w:rPr>
            </w:pPr>
            <w:r w:rsidRPr="0005333F">
              <w:rPr>
                <w:b/>
                <w:bCs/>
                <w:lang w:val="en-GB"/>
              </w:rPr>
              <w:t>Aij</w:t>
            </w:r>
          </w:p>
        </w:tc>
        <w:tc>
          <w:tcPr>
            <w:tcW w:w="651" w:type="dxa"/>
            <w:tcBorders>
              <w:top w:val="single" w:sz="12" w:space="0" w:color="008000"/>
              <w:bottom w:val="single" w:sz="6" w:space="0" w:color="008000"/>
            </w:tcBorders>
            <w:shd w:val="clear" w:color="auto" w:fill="FFFFFF"/>
          </w:tcPr>
          <w:p w14:paraId="33203AC3" w14:textId="1EA02DAE" w:rsidR="00B357B6" w:rsidRPr="0005333F" w:rsidRDefault="00B357B6" w:rsidP="00B357B6">
            <w:pPr>
              <w:pStyle w:val="CETBodytext"/>
              <w:ind w:right="-1"/>
              <w:rPr>
                <w:rFonts w:cs="Arial"/>
                <w:b/>
                <w:bCs/>
                <w:szCs w:val="18"/>
                <w:lang w:val="en-GB"/>
              </w:rPr>
            </w:pPr>
            <w:r w:rsidRPr="0005333F">
              <w:rPr>
                <w:rFonts w:cs="Arial"/>
                <w:b/>
                <w:bCs/>
                <w:szCs w:val="18"/>
                <w:lang w:val="en-GB"/>
              </w:rPr>
              <w:t>Aji</w:t>
            </w:r>
          </w:p>
        </w:tc>
      </w:tr>
      <w:tr w:rsidR="00636993" w:rsidRPr="00B57B36" w14:paraId="3AA5A356" w14:textId="767B202E" w:rsidTr="001335A5">
        <w:tc>
          <w:tcPr>
            <w:tcW w:w="1127" w:type="dxa"/>
            <w:shd w:val="clear" w:color="auto" w:fill="FFFFFF"/>
          </w:tcPr>
          <w:p w14:paraId="706C3AE2" w14:textId="30573E2D" w:rsidR="00636993" w:rsidRPr="00B57B36" w:rsidRDefault="00636993" w:rsidP="00636993">
            <w:pPr>
              <w:pStyle w:val="CETBodytext"/>
              <w:rPr>
                <w:lang w:val="en-GB"/>
              </w:rPr>
            </w:pPr>
            <w:r w:rsidRPr="00FD7A24">
              <w:t>H</w:t>
            </w:r>
            <w:r w:rsidRPr="00693281">
              <w:rPr>
                <w:vertAlign w:val="subscript"/>
              </w:rPr>
              <w:t>2</w:t>
            </w:r>
            <w:r w:rsidRPr="00FD7A24">
              <w:t>O</w:t>
            </w:r>
          </w:p>
        </w:tc>
        <w:tc>
          <w:tcPr>
            <w:tcW w:w="1823" w:type="dxa"/>
            <w:shd w:val="clear" w:color="auto" w:fill="FFFFFF"/>
          </w:tcPr>
          <w:p w14:paraId="031BE871" w14:textId="77B7983D" w:rsidR="00636993" w:rsidRPr="00B57B36" w:rsidRDefault="00636993" w:rsidP="00636993">
            <w:pPr>
              <w:pStyle w:val="CETBodytext"/>
              <w:rPr>
                <w:lang w:val="en-GB"/>
              </w:rPr>
            </w:pPr>
            <w:r w:rsidRPr="00EA0EBB">
              <w:t>(PRLDH</w:t>
            </w:r>
            <w:r w:rsidRPr="00693281">
              <w:rPr>
                <w:vertAlign w:val="superscript"/>
              </w:rPr>
              <w:t>+</w:t>
            </w:r>
            <w:r w:rsidRPr="00EA0EBB">
              <w:t>,HCO</w:t>
            </w:r>
            <w:r w:rsidRPr="00693281">
              <w:rPr>
                <w:vertAlign w:val="subscript"/>
              </w:rPr>
              <w:t>3</w:t>
            </w:r>
            <w:r w:rsidRPr="00693281">
              <w:rPr>
                <w:vertAlign w:val="superscript"/>
              </w:rPr>
              <w:t>-</w:t>
            </w:r>
            <w:r w:rsidRPr="00EA0EBB">
              <w:t>)</w:t>
            </w:r>
          </w:p>
        </w:tc>
        <w:tc>
          <w:tcPr>
            <w:tcW w:w="703" w:type="dxa"/>
            <w:shd w:val="clear" w:color="auto" w:fill="FFFFFF"/>
          </w:tcPr>
          <w:p w14:paraId="60B0DFBC" w14:textId="434CDBD2" w:rsidR="00636993" w:rsidRPr="00B57B36" w:rsidRDefault="00636993" w:rsidP="00636993">
            <w:pPr>
              <w:pStyle w:val="CETBodytext"/>
              <w:rPr>
                <w:lang w:val="en-GB"/>
              </w:rPr>
            </w:pPr>
            <w:r w:rsidRPr="005C514B">
              <w:t>13.</w:t>
            </w:r>
            <w:r>
              <w:t>696</w:t>
            </w:r>
          </w:p>
        </w:tc>
        <w:tc>
          <w:tcPr>
            <w:tcW w:w="839" w:type="dxa"/>
            <w:shd w:val="clear" w:color="auto" w:fill="FFFFFF"/>
          </w:tcPr>
          <w:p w14:paraId="7C842156" w14:textId="1B49B8FF" w:rsidR="00636993" w:rsidRPr="00B57B36" w:rsidRDefault="00636993" w:rsidP="00636993">
            <w:pPr>
              <w:pStyle w:val="CETBodytext"/>
              <w:ind w:right="-1"/>
              <w:rPr>
                <w:rFonts w:cs="Arial"/>
                <w:szCs w:val="18"/>
                <w:lang w:val="en-GB"/>
              </w:rPr>
            </w:pPr>
            <w:r w:rsidRPr="009E44B9">
              <w:t>-5.</w:t>
            </w:r>
            <w:r>
              <w:t>428</w:t>
            </w:r>
          </w:p>
        </w:tc>
        <w:tc>
          <w:tcPr>
            <w:tcW w:w="1127" w:type="dxa"/>
            <w:shd w:val="clear" w:color="auto" w:fill="FFFFFF"/>
          </w:tcPr>
          <w:p w14:paraId="73FFE29D" w14:textId="34C46749" w:rsidR="00636993" w:rsidRPr="00B57B36" w:rsidRDefault="00636993" w:rsidP="00636993">
            <w:pPr>
              <w:pStyle w:val="CETBodytext"/>
              <w:ind w:right="-1"/>
              <w:rPr>
                <w:rFonts w:cs="Arial"/>
                <w:szCs w:val="18"/>
                <w:lang w:val="en-GB"/>
              </w:rPr>
            </w:pPr>
            <w:r w:rsidRPr="00FD7A24">
              <w:t>PRLD</w:t>
            </w:r>
          </w:p>
        </w:tc>
        <w:tc>
          <w:tcPr>
            <w:tcW w:w="1673" w:type="dxa"/>
            <w:shd w:val="clear" w:color="auto" w:fill="FFFFFF"/>
          </w:tcPr>
          <w:p w14:paraId="74C5EA3A" w14:textId="6DBB3668" w:rsidR="00636993" w:rsidRPr="00743ECC" w:rsidRDefault="00636993" w:rsidP="00636993">
            <w:pPr>
              <w:pStyle w:val="CETBodytext"/>
              <w:ind w:right="-1"/>
            </w:pPr>
            <w:r w:rsidRPr="00EA0EBB">
              <w:t>(</w:t>
            </w:r>
            <w:r w:rsidRPr="00FD7A24">
              <w:t>PRLDH</w:t>
            </w:r>
            <w:r w:rsidRPr="007E4197">
              <w:rPr>
                <w:vertAlign w:val="superscript"/>
              </w:rPr>
              <w:t>+</w:t>
            </w:r>
            <w:r w:rsidRPr="00EA0EBB">
              <w:t>, APCO</w:t>
            </w:r>
            <w:r>
              <w:t>O</w:t>
            </w:r>
            <w:r w:rsidRPr="007E4197">
              <w:rPr>
                <w:vertAlign w:val="superscript"/>
              </w:rPr>
              <w:t>-</w:t>
            </w:r>
            <w:r w:rsidRPr="00EA0EBB">
              <w:t>)</w:t>
            </w:r>
          </w:p>
        </w:tc>
        <w:tc>
          <w:tcPr>
            <w:tcW w:w="844" w:type="dxa"/>
            <w:shd w:val="clear" w:color="auto" w:fill="FFFFFF"/>
          </w:tcPr>
          <w:p w14:paraId="653756A2" w14:textId="486BEAFC" w:rsidR="00636993" w:rsidRPr="00743ECC" w:rsidRDefault="00636993" w:rsidP="00636993">
            <w:pPr>
              <w:pStyle w:val="CETBodytext"/>
              <w:ind w:right="-1"/>
            </w:pPr>
            <w:r w:rsidRPr="00AC42F3">
              <w:t>12.</w:t>
            </w:r>
            <w:r>
              <w:t>549</w:t>
            </w:r>
          </w:p>
        </w:tc>
        <w:tc>
          <w:tcPr>
            <w:tcW w:w="651" w:type="dxa"/>
            <w:shd w:val="clear" w:color="auto" w:fill="FFFFFF"/>
          </w:tcPr>
          <w:p w14:paraId="6C8E80A4" w14:textId="41515418" w:rsidR="00636993" w:rsidRPr="00743ECC" w:rsidRDefault="00636993" w:rsidP="00636993">
            <w:pPr>
              <w:pStyle w:val="CETBodytext"/>
              <w:ind w:right="-1"/>
            </w:pPr>
            <w:r w:rsidRPr="004A679E">
              <w:t>2.</w:t>
            </w:r>
            <w:r>
              <w:t>891</w:t>
            </w:r>
          </w:p>
        </w:tc>
      </w:tr>
      <w:tr w:rsidR="00636993" w:rsidRPr="00B57B36" w14:paraId="1EFBFE95" w14:textId="31E9FE34" w:rsidTr="001335A5">
        <w:tc>
          <w:tcPr>
            <w:tcW w:w="1127" w:type="dxa"/>
            <w:shd w:val="clear" w:color="auto" w:fill="FFFFFF"/>
          </w:tcPr>
          <w:p w14:paraId="7F77EF48" w14:textId="43CEC29C" w:rsidR="00636993" w:rsidRPr="00B57B36" w:rsidRDefault="00636993" w:rsidP="00636993">
            <w:pPr>
              <w:pStyle w:val="CETBodytext"/>
              <w:ind w:right="-1"/>
              <w:rPr>
                <w:rFonts w:cs="Arial"/>
                <w:szCs w:val="18"/>
                <w:lang w:val="en-GB"/>
              </w:rPr>
            </w:pPr>
            <w:r w:rsidRPr="00FD7A24">
              <w:t>PRLD</w:t>
            </w:r>
          </w:p>
        </w:tc>
        <w:tc>
          <w:tcPr>
            <w:tcW w:w="1823" w:type="dxa"/>
            <w:shd w:val="clear" w:color="auto" w:fill="FFFFFF"/>
          </w:tcPr>
          <w:p w14:paraId="3723A394" w14:textId="7AD73BD7" w:rsidR="00636993" w:rsidRPr="00B57B36" w:rsidRDefault="00636993" w:rsidP="00636993">
            <w:pPr>
              <w:pStyle w:val="CETBodytext"/>
              <w:ind w:right="-1"/>
              <w:rPr>
                <w:rFonts w:cs="Arial"/>
                <w:szCs w:val="18"/>
                <w:lang w:val="en-GB"/>
              </w:rPr>
            </w:pPr>
            <w:r w:rsidRPr="00EA0EBB">
              <w:t>(PRLDH</w:t>
            </w:r>
            <w:r w:rsidRPr="007E4197">
              <w:rPr>
                <w:vertAlign w:val="superscript"/>
              </w:rPr>
              <w:t>+</w:t>
            </w:r>
            <w:r w:rsidRPr="00EA0EBB">
              <w:t>,HCO</w:t>
            </w:r>
            <w:r w:rsidRPr="007E4197">
              <w:rPr>
                <w:vertAlign w:val="subscript"/>
              </w:rPr>
              <w:t>3</w:t>
            </w:r>
            <w:r w:rsidRPr="007E4197">
              <w:rPr>
                <w:vertAlign w:val="superscript"/>
              </w:rPr>
              <w:t>-</w:t>
            </w:r>
            <w:r w:rsidRPr="00EA0EBB">
              <w:t>)</w:t>
            </w:r>
          </w:p>
        </w:tc>
        <w:tc>
          <w:tcPr>
            <w:tcW w:w="703" w:type="dxa"/>
            <w:shd w:val="clear" w:color="auto" w:fill="FFFFFF"/>
          </w:tcPr>
          <w:p w14:paraId="6D473982" w14:textId="069B34F8" w:rsidR="00636993" w:rsidRPr="00B57B36" w:rsidRDefault="00636993" w:rsidP="00636993">
            <w:pPr>
              <w:pStyle w:val="CETBodytext"/>
              <w:ind w:right="-1"/>
              <w:rPr>
                <w:rFonts w:cs="Arial"/>
                <w:szCs w:val="18"/>
                <w:lang w:val="en-GB"/>
              </w:rPr>
            </w:pPr>
            <w:r w:rsidRPr="005C514B">
              <w:t>29.</w:t>
            </w:r>
            <w:r>
              <w:t>044</w:t>
            </w:r>
          </w:p>
        </w:tc>
        <w:tc>
          <w:tcPr>
            <w:tcW w:w="839" w:type="dxa"/>
            <w:shd w:val="clear" w:color="auto" w:fill="FFFFFF"/>
          </w:tcPr>
          <w:p w14:paraId="60761AC6" w14:textId="4A221440" w:rsidR="00636993" w:rsidRPr="00B57B36" w:rsidRDefault="00636993" w:rsidP="00636993">
            <w:pPr>
              <w:pStyle w:val="CETBodytext"/>
              <w:ind w:right="-1"/>
              <w:rPr>
                <w:rFonts w:cs="Arial"/>
                <w:szCs w:val="18"/>
                <w:lang w:val="en-GB"/>
              </w:rPr>
            </w:pPr>
            <w:r w:rsidRPr="009E44B9">
              <w:t>8.</w:t>
            </w:r>
            <w:r>
              <w:t>772</w:t>
            </w:r>
          </w:p>
        </w:tc>
        <w:tc>
          <w:tcPr>
            <w:tcW w:w="1127" w:type="dxa"/>
            <w:shd w:val="clear" w:color="auto" w:fill="FFFFFF"/>
          </w:tcPr>
          <w:p w14:paraId="2DEE0329" w14:textId="06A4A811" w:rsidR="00636993" w:rsidRPr="00B57B36" w:rsidRDefault="00636993" w:rsidP="00636993">
            <w:pPr>
              <w:pStyle w:val="CETBodytext"/>
              <w:ind w:right="-1"/>
              <w:rPr>
                <w:rFonts w:cs="Arial"/>
                <w:szCs w:val="18"/>
                <w:lang w:val="en-GB"/>
              </w:rPr>
            </w:pPr>
            <w:r w:rsidRPr="00FD7A24">
              <w:t>PRLD</w:t>
            </w:r>
          </w:p>
        </w:tc>
        <w:tc>
          <w:tcPr>
            <w:tcW w:w="1673" w:type="dxa"/>
            <w:shd w:val="clear" w:color="auto" w:fill="FFFFFF"/>
          </w:tcPr>
          <w:p w14:paraId="0B3D6F03" w14:textId="75D05835" w:rsidR="00636993" w:rsidRPr="00743ECC" w:rsidRDefault="00636993" w:rsidP="00636993">
            <w:pPr>
              <w:pStyle w:val="CETBodytext"/>
              <w:ind w:right="-1"/>
            </w:pPr>
            <w:r w:rsidRPr="00EA0EBB">
              <w:t>(APH</w:t>
            </w:r>
            <w:r w:rsidRPr="007E4197">
              <w:rPr>
                <w:vertAlign w:val="superscript"/>
              </w:rPr>
              <w:t>+</w:t>
            </w:r>
            <w:r w:rsidRPr="00EA0EBB">
              <w:t>, HCO</w:t>
            </w:r>
            <w:r w:rsidRPr="007E4197">
              <w:rPr>
                <w:vertAlign w:val="subscript"/>
              </w:rPr>
              <w:t>3</w:t>
            </w:r>
            <w:r w:rsidRPr="007E4197">
              <w:rPr>
                <w:vertAlign w:val="superscript"/>
              </w:rPr>
              <w:t>-</w:t>
            </w:r>
            <w:r w:rsidRPr="00EA0EBB">
              <w:t>)</w:t>
            </w:r>
          </w:p>
        </w:tc>
        <w:tc>
          <w:tcPr>
            <w:tcW w:w="844" w:type="dxa"/>
            <w:shd w:val="clear" w:color="auto" w:fill="FFFFFF"/>
          </w:tcPr>
          <w:p w14:paraId="7BB58B88" w14:textId="1F0FCD2E" w:rsidR="00636993" w:rsidRPr="00743ECC" w:rsidRDefault="00636993" w:rsidP="00636993">
            <w:pPr>
              <w:pStyle w:val="CETBodytext"/>
              <w:ind w:right="-1"/>
            </w:pPr>
            <w:r w:rsidRPr="00AC42F3">
              <w:t>11.</w:t>
            </w:r>
            <w:r>
              <w:t>623</w:t>
            </w:r>
          </w:p>
        </w:tc>
        <w:tc>
          <w:tcPr>
            <w:tcW w:w="651" w:type="dxa"/>
            <w:shd w:val="clear" w:color="auto" w:fill="FFFFFF"/>
          </w:tcPr>
          <w:p w14:paraId="78C9D6A5" w14:textId="01FD060A" w:rsidR="00636993" w:rsidRPr="00743ECC" w:rsidRDefault="00636993" w:rsidP="00636993">
            <w:pPr>
              <w:pStyle w:val="CETBodytext"/>
              <w:ind w:right="-1"/>
            </w:pPr>
            <w:r w:rsidRPr="004A679E">
              <w:t>0.</w:t>
            </w:r>
            <w:r>
              <w:t>116</w:t>
            </w:r>
          </w:p>
        </w:tc>
      </w:tr>
      <w:tr w:rsidR="00636993" w:rsidRPr="00B57B36" w14:paraId="0EB9F7E2" w14:textId="723C7C43" w:rsidTr="001B3714">
        <w:tc>
          <w:tcPr>
            <w:tcW w:w="1127" w:type="dxa"/>
            <w:shd w:val="clear" w:color="auto" w:fill="FFFFFF"/>
          </w:tcPr>
          <w:p w14:paraId="446266EE" w14:textId="28BF2C1F" w:rsidR="00636993" w:rsidRPr="00B57B36" w:rsidRDefault="00636993" w:rsidP="00636993">
            <w:pPr>
              <w:pStyle w:val="CETBodytext"/>
              <w:ind w:right="-1"/>
              <w:rPr>
                <w:rFonts w:cs="Arial"/>
                <w:szCs w:val="18"/>
                <w:lang w:val="en-GB"/>
              </w:rPr>
            </w:pPr>
            <w:r w:rsidRPr="00FD7A24">
              <w:t>H</w:t>
            </w:r>
            <w:r w:rsidRPr="007E4197">
              <w:rPr>
                <w:vertAlign w:val="subscript"/>
              </w:rPr>
              <w:t>2</w:t>
            </w:r>
            <w:r w:rsidRPr="00FD7A24">
              <w:t>O</w:t>
            </w:r>
          </w:p>
        </w:tc>
        <w:tc>
          <w:tcPr>
            <w:tcW w:w="1823" w:type="dxa"/>
            <w:shd w:val="clear" w:color="auto" w:fill="FFFFFF"/>
          </w:tcPr>
          <w:p w14:paraId="0E139946" w14:textId="7EA4C892" w:rsidR="00636993" w:rsidRPr="00B57B36" w:rsidRDefault="00636993" w:rsidP="00636993">
            <w:pPr>
              <w:pStyle w:val="CETBodytext"/>
              <w:ind w:right="-1"/>
              <w:rPr>
                <w:rFonts w:cs="Arial"/>
                <w:szCs w:val="18"/>
                <w:lang w:val="en-GB"/>
              </w:rPr>
            </w:pPr>
            <w:r w:rsidRPr="00EA0EBB">
              <w:t>(APH</w:t>
            </w:r>
            <w:r w:rsidRPr="007E4197">
              <w:rPr>
                <w:vertAlign w:val="superscript"/>
              </w:rPr>
              <w:t>+</w:t>
            </w:r>
            <w:r w:rsidRPr="00EA0EBB">
              <w:t>,HCO</w:t>
            </w:r>
            <w:r w:rsidRPr="007E4197">
              <w:rPr>
                <w:vertAlign w:val="subscript"/>
              </w:rPr>
              <w:t>3</w:t>
            </w:r>
            <w:r w:rsidRPr="007E4197">
              <w:rPr>
                <w:vertAlign w:val="superscript"/>
              </w:rPr>
              <w:t>-</w:t>
            </w:r>
            <w:r w:rsidRPr="00EA0EBB">
              <w:t>)</w:t>
            </w:r>
          </w:p>
        </w:tc>
        <w:tc>
          <w:tcPr>
            <w:tcW w:w="703" w:type="dxa"/>
            <w:shd w:val="clear" w:color="auto" w:fill="FFFFFF"/>
          </w:tcPr>
          <w:p w14:paraId="20EBB99F" w14:textId="73791947" w:rsidR="00636993" w:rsidRPr="00B57B36" w:rsidRDefault="00636993" w:rsidP="00636993">
            <w:pPr>
              <w:pStyle w:val="CETBodytext"/>
              <w:ind w:right="-1"/>
              <w:rPr>
                <w:rFonts w:cs="Arial"/>
                <w:szCs w:val="18"/>
                <w:lang w:val="en-GB"/>
              </w:rPr>
            </w:pPr>
            <w:r w:rsidRPr="005C514B">
              <w:t>12.</w:t>
            </w:r>
            <w:r>
              <w:t>618</w:t>
            </w:r>
          </w:p>
        </w:tc>
        <w:tc>
          <w:tcPr>
            <w:tcW w:w="839" w:type="dxa"/>
            <w:shd w:val="clear" w:color="auto" w:fill="FFFFFF"/>
          </w:tcPr>
          <w:p w14:paraId="0E3CBC2A" w14:textId="1F4F507B" w:rsidR="00636993" w:rsidRPr="00B57B36" w:rsidRDefault="00636993" w:rsidP="00636993">
            <w:pPr>
              <w:pStyle w:val="CETBodytext"/>
              <w:ind w:right="-1"/>
              <w:rPr>
                <w:rFonts w:cs="Arial"/>
                <w:szCs w:val="18"/>
                <w:lang w:val="en-GB"/>
              </w:rPr>
            </w:pPr>
            <w:r w:rsidRPr="009E44B9">
              <w:t>-5.</w:t>
            </w:r>
            <w:r>
              <w:t>532</w:t>
            </w:r>
          </w:p>
        </w:tc>
        <w:tc>
          <w:tcPr>
            <w:tcW w:w="1127" w:type="dxa"/>
            <w:tcBorders>
              <w:bottom w:val="single" w:sz="12" w:space="0" w:color="008000"/>
            </w:tcBorders>
            <w:shd w:val="clear" w:color="auto" w:fill="FFFFFF"/>
          </w:tcPr>
          <w:p w14:paraId="4B0B61F6" w14:textId="779CFCF2" w:rsidR="00636993" w:rsidRPr="00B57B36" w:rsidRDefault="00636993" w:rsidP="00636993">
            <w:pPr>
              <w:pStyle w:val="CETBodytext"/>
              <w:ind w:right="-1"/>
              <w:rPr>
                <w:rFonts w:cs="Arial"/>
                <w:szCs w:val="18"/>
                <w:lang w:val="en-GB"/>
              </w:rPr>
            </w:pPr>
            <w:r w:rsidRPr="00EF6EFA">
              <w:t>PRLD</w:t>
            </w:r>
          </w:p>
        </w:tc>
        <w:tc>
          <w:tcPr>
            <w:tcW w:w="1673" w:type="dxa"/>
            <w:tcBorders>
              <w:bottom w:val="single" w:sz="12" w:space="0" w:color="008000"/>
            </w:tcBorders>
            <w:shd w:val="clear" w:color="auto" w:fill="FFFFFF"/>
          </w:tcPr>
          <w:p w14:paraId="608EAEED" w14:textId="5CA0BC09" w:rsidR="00636993" w:rsidRPr="00743ECC" w:rsidRDefault="00636993" w:rsidP="00636993">
            <w:pPr>
              <w:pStyle w:val="CETBodytext"/>
              <w:ind w:right="-1"/>
            </w:pPr>
            <w:r w:rsidRPr="00EA0EBB">
              <w:t>(APH</w:t>
            </w:r>
            <w:r w:rsidRPr="007E4197">
              <w:rPr>
                <w:vertAlign w:val="superscript"/>
              </w:rPr>
              <w:t>+</w:t>
            </w:r>
            <w:r w:rsidRPr="00EA0EBB">
              <w:t>, APCO</w:t>
            </w:r>
            <w:r>
              <w:t>O</w:t>
            </w:r>
            <w:r w:rsidRPr="007E4197">
              <w:rPr>
                <w:vertAlign w:val="superscript"/>
              </w:rPr>
              <w:t>-</w:t>
            </w:r>
            <w:r w:rsidRPr="00EA0EBB">
              <w:t>)</w:t>
            </w:r>
          </w:p>
        </w:tc>
        <w:tc>
          <w:tcPr>
            <w:tcW w:w="844" w:type="dxa"/>
            <w:tcBorders>
              <w:bottom w:val="single" w:sz="12" w:space="0" w:color="008000"/>
            </w:tcBorders>
            <w:shd w:val="clear" w:color="auto" w:fill="FFFFFF"/>
          </w:tcPr>
          <w:p w14:paraId="495D8C36" w14:textId="7E1740D9" w:rsidR="00636993" w:rsidRPr="00743ECC" w:rsidRDefault="00636993" w:rsidP="00636993">
            <w:pPr>
              <w:pStyle w:val="CETBodytext"/>
              <w:ind w:right="-1"/>
            </w:pPr>
            <w:r w:rsidRPr="00AC42F3">
              <w:t>7.</w:t>
            </w:r>
            <w:r>
              <w:t>460</w:t>
            </w:r>
          </w:p>
        </w:tc>
        <w:tc>
          <w:tcPr>
            <w:tcW w:w="651" w:type="dxa"/>
            <w:tcBorders>
              <w:bottom w:val="single" w:sz="12" w:space="0" w:color="008000"/>
            </w:tcBorders>
            <w:shd w:val="clear" w:color="auto" w:fill="FFFFFF"/>
          </w:tcPr>
          <w:p w14:paraId="15780E27" w14:textId="5FDAF841" w:rsidR="00636993" w:rsidRPr="00743ECC" w:rsidRDefault="00636993" w:rsidP="00636993">
            <w:pPr>
              <w:pStyle w:val="CETBodytext"/>
              <w:ind w:right="-1"/>
            </w:pPr>
            <w:r w:rsidRPr="004A679E">
              <w:t>19.</w:t>
            </w:r>
            <w:r>
              <w:t>923</w:t>
            </w:r>
          </w:p>
        </w:tc>
      </w:tr>
      <w:tr w:rsidR="00636993" w:rsidRPr="00B57B36" w14:paraId="5CE8B8FD" w14:textId="39C3B2BA" w:rsidTr="001B3714">
        <w:tc>
          <w:tcPr>
            <w:tcW w:w="1127" w:type="dxa"/>
            <w:shd w:val="clear" w:color="auto" w:fill="FFFFFF"/>
          </w:tcPr>
          <w:p w14:paraId="0F674098" w14:textId="51D9D3D3" w:rsidR="00636993" w:rsidRPr="00B57B36" w:rsidRDefault="00636993" w:rsidP="00636993">
            <w:pPr>
              <w:pStyle w:val="CETBodytext"/>
              <w:ind w:right="-1"/>
              <w:rPr>
                <w:rFonts w:cs="Arial"/>
                <w:szCs w:val="18"/>
                <w:lang w:val="en-GB"/>
              </w:rPr>
            </w:pPr>
            <w:r w:rsidRPr="00FD7A24">
              <w:t>H</w:t>
            </w:r>
            <w:r w:rsidRPr="007E4197">
              <w:rPr>
                <w:vertAlign w:val="subscript"/>
              </w:rPr>
              <w:t>2</w:t>
            </w:r>
            <w:r w:rsidRPr="00FD7A24">
              <w:t>O</w:t>
            </w:r>
          </w:p>
        </w:tc>
        <w:tc>
          <w:tcPr>
            <w:tcW w:w="1823" w:type="dxa"/>
            <w:shd w:val="clear" w:color="auto" w:fill="FFFFFF"/>
          </w:tcPr>
          <w:p w14:paraId="0725B022" w14:textId="1951AF01" w:rsidR="00636993" w:rsidRPr="00B57B36" w:rsidRDefault="00636993" w:rsidP="00636993">
            <w:pPr>
              <w:pStyle w:val="CETBodytext"/>
              <w:ind w:right="-1"/>
              <w:rPr>
                <w:rFonts w:cs="Arial"/>
                <w:szCs w:val="18"/>
                <w:lang w:val="en-GB"/>
              </w:rPr>
            </w:pPr>
            <w:r w:rsidRPr="00EA0EBB">
              <w:t>(APH</w:t>
            </w:r>
            <w:r w:rsidRPr="007E4197">
              <w:rPr>
                <w:vertAlign w:val="superscript"/>
              </w:rPr>
              <w:t>+</w:t>
            </w:r>
            <w:r w:rsidRPr="00EA0EBB">
              <w:t>,APCO</w:t>
            </w:r>
            <w:r>
              <w:t>O</w:t>
            </w:r>
            <w:r w:rsidRPr="007E4197">
              <w:rPr>
                <w:vertAlign w:val="superscript"/>
              </w:rPr>
              <w:t>-</w:t>
            </w:r>
            <w:r w:rsidRPr="00EA0EBB">
              <w:t>)</w:t>
            </w:r>
          </w:p>
        </w:tc>
        <w:tc>
          <w:tcPr>
            <w:tcW w:w="703" w:type="dxa"/>
            <w:shd w:val="clear" w:color="auto" w:fill="FFFFFF"/>
          </w:tcPr>
          <w:p w14:paraId="4BE2C292" w14:textId="189873FC" w:rsidR="00636993" w:rsidRPr="00B57B36" w:rsidRDefault="00636993" w:rsidP="00636993">
            <w:pPr>
              <w:pStyle w:val="CETBodytext"/>
              <w:ind w:right="-1"/>
              <w:rPr>
                <w:rFonts w:cs="Arial"/>
                <w:szCs w:val="18"/>
                <w:lang w:val="en-GB"/>
              </w:rPr>
            </w:pPr>
            <w:r w:rsidRPr="005C514B">
              <w:t>10.</w:t>
            </w:r>
            <w:r>
              <w:t>523</w:t>
            </w:r>
          </w:p>
        </w:tc>
        <w:tc>
          <w:tcPr>
            <w:tcW w:w="839" w:type="dxa"/>
            <w:shd w:val="clear" w:color="auto" w:fill="FFFFFF"/>
          </w:tcPr>
          <w:p w14:paraId="554F3A0C" w14:textId="60B0400F" w:rsidR="00636993" w:rsidRPr="00B57B36" w:rsidRDefault="00636993" w:rsidP="00636993">
            <w:pPr>
              <w:pStyle w:val="CETBodytext"/>
              <w:ind w:right="-1"/>
              <w:rPr>
                <w:rFonts w:cs="Arial"/>
                <w:szCs w:val="18"/>
                <w:lang w:val="en-GB"/>
              </w:rPr>
            </w:pPr>
            <w:r w:rsidRPr="009E44B9">
              <w:t>-6.</w:t>
            </w:r>
            <w:r>
              <w:t>998</w:t>
            </w:r>
          </w:p>
        </w:tc>
        <w:tc>
          <w:tcPr>
            <w:tcW w:w="1127" w:type="dxa"/>
            <w:tcBorders>
              <w:top w:val="single" w:sz="12" w:space="0" w:color="008000"/>
              <w:bottom w:val="single" w:sz="6" w:space="0" w:color="008000"/>
            </w:tcBorders>
            <w:shd w:val="clear" w:color="auto" w:fill="FFFFFF"/>
          </w:tcPr>
          <w:p w14:paraId="5B72C47C" w14:textId="170B8E01" w:rsidR="00636993" w:rsidRPr="0005333F" w:rsidRDefault="00636993" w:rsidP="00636993">
            <w:pPr>
              <w:pStyle w:val="CETBodytext"/>
              <w:ind w:right="-1"/>
              <w:rPr>
                <w:rFonts w:cs="Arial"/>
                <w:b/>
                <w:bCs/>
                <w:szCs w:val="18"/>
                <w:lang w:val="en-GB"/>
              </w:rPr>
            </w:pPr>
            <w:r w:rsidRPr="0005333F">
              <w:rPr>
                <w:b/>
                <w:bCs/>
                <w:lang w:val="en-GB"/>
              </w:rPr>
              <w:t>Comp i</w:t>
            </w:r>
          </w:p>
        </w:tc>
        <w:tc>
          <w:tcPr>
            <w:tcW w:w="1673" w:type="dxa"/>
            <w:tcBorders>
              <w:top w:val="single" w:sz="12" w:space="0" w:color="008000"/>
              <w:bottom w:val="single" w:sz="6" w:space="0" w:color="008000"/>
            </w:tcBorders>
            <w:shd w:val="clear" w:color="auto" w:fill="FFFFFF"/>
          </w:tcPr>
          <w:p w14:paraId="2396FE25" w14:textId="7538A4C5" w:rsidR="00636993" w:rsidRPr="0005333F" w:rsidRDefault="00636993" w:rsidP="00636993">
            <w:pPr>
              <w:pStyle w:val="CETBodytext"/>
              <w:ind w:right="-1"/>
              <w:rPr>
                <w:b/>
                <w:bCs/>
              </w:rPr>
            </w:pPr>
            <w:r w:rsidRPr="0005333F">
              <w:rPr>
                <w:b/>
                <w:bCs/>
                <w:lang w:val="en-GB"/>
              </w:rPr>
              <w:t>Comp j</w:t>
            </w:r>
          </w:p>
        </w:tc>
        <w:tc>
          <w:tcPr>
            <w:tcW w:w="844" w:type="dxa"/>
            <w:tcBorders>
              <w:top w:val="single" w:sz="12" w:space="0" w:color="008000"/>
              <w:bottom w:val="single" w:sz="6" w:space="0" w:color="008000"/>
            </w:tcBorders>
            <w:shd w:val="clear" w:color="auto" w:fill="FFFFFF"/>
          </w:tcPr>
          <w:p w14:paraId="2C65D225" w14:textId="33052FBD" w:rsidR="00636993" w:rsidRPr="0005333F" w:rsidRDefault="00636993" w:rsidP="00636993">
            <w:pPr>
              <w:pStyle w:val="CETBodytext"/>
              <w:ind w:right="-1"/>
              <w:rPr>
                <w:b/>
                <w:bCs/>
              </w:rPr>
            </w:pPr>
            <w:r w:rsidRPr="0005333F">
              <w:rPr>
                <w:b/>
                <w:bCs/>
              </w:rPr>
              <w:t>Bij</w:t>
            </w:r>
          </w:p>
        </w:tc>
        <w:tc>
          <w:tcPr>
            <w:tcW w:w="651" w:type="dxa"/>
            <w:tcBorders>
              <w:top w:val="single" w:sz="12" w:space="0" w:color="008000"/>
              <w:bottom w:val="single" w:sz="6" w:space="0" w:color="008000"/>
            </w:tcBorders>
            <w:shd w:val="clear" w:color="auto" w:fill="FFFFFF"/>
          </w:tcPr>
          <w:p w14:paraId="23AC6B21" w14:textId="56E2D4B0" w:rsidR="00636993" w:rsidRPr="0005333F" w:rsidRDefault="00636993" w:rsidP="00636993">
            <w:pPr>
              <w:pStyle w:val="CETBodytext"/>
              <w:ind w:right="-1"/>
              <w:rPr>
                <w:b/>
                <w:bCs/>
              </w:rPr>
            </w:pPr>
            <w:r w:rsidRPr="0005333F">
              <w:rPr>
                <w:b/>
                <w:bCs/>
              </w:rPr>
              <w:t>Bji</w:t>
            </w:r>
          </w:p>
        </w:tc>
      </w:tr>
      <w:tr w:rsidR="003C4AFA" w:rsidRPr="00B57B36" w14:paraId="2C4F5BDD" w14:textId="77777777" w:rsidTr="001B3714">
        <w:tc>
          <w:tcPr>
            <w:tcW w:w="1127" w:type="dxa"/>
            <w:shd w:val="clear" w:color="auto" w:fill="FFFFFF"/>
          </w:tcPr>
          <w:p w14:paraId="3C95FA81" w14:textId="1206443D" w:rsidR="003C4AFA" w:rsidRDefault="003C4AFA" w:rsidP="003C4AFA">
            <w:pPr>
              <w:pStyle w:val="CETBodytext"/>
              <w:ind w:right="-1"/>
              <w:rPr>
                <w:rFonts w:cs="Arial"/>
                <w:szCs w:val="18"/>
                <w:lang w:val="en-GB"/>
              </w:rPr>
            </w:pPr>
            <w:r w:rsidRPr="00FD7A24">
              <w:t>AP</w:t>
            </w:r>
          </w:p>
        </w:tc>
        <w:tc>
          <w:tcPr>
            <w:tcW w:w="1823" w:type="dxa"/>
            <w:shd w:val="clear" w:color="auto" w:fill="FFFFFF"/>
          </w:tcPr>
          <w:p w14:paraId="60B7FD1B" w14:textId="332EFD1D" w:rsidR="003C4AFA" w:rsidRPr="00B57B36" w:rsidRDefault="003C4AFA" w:rsidP="003C4AFA">
            <w:pPr>
              <w:pStyle w:val="CETBodytext"/>
              <w:ind w:right="-1"/>
              <w:rPr>
                <w:rFonts w:cs="Arial"/>
                <w:szCs w:val="18"/>
                <w:lang w:val="en-GB"/>
              </w:rPr>
            </w:pPr>
            <w:r w:rsidRPr="00EA0EBB">
              <w:t>(APH</w:t>
            </w:r>
            <w:r w:rsidRPr="007E4197">
              <w:rPr>
                <w:vertAlign w:val="superscript"/>
              </w:rPr>
              <w:t>+</w:t>
            </w:r>
            <w:r w:rsidRPr="00EA0EBB">
              <w:t>, HCO</w:t>
            </w:r>
            <w:r w:rsidRPr="007E4197">
              <w:rPr>
                <w:vertAlign w:val="subscript"/>
              </w:rPr>
              <w:t>3</w:t>
            </w:r>
            <w:r w:rsidRPr="007E4197">
              <w:rPr>
                <w:vertAlign w:val="superscript"/>
              </w:rPr>
              <w:t>-</w:t>
            </w:r>
            <w:r w:rsidRPr="00EA0EBB">
              <w:t>)</w:t>
            </w:r>
          </w:p>
        </w:tc>
        <w:tc>
          <w:tcPr>
            <w:tcW w:w="703" w:type="dxa"/>
            <w:shd w:val="clear" w:color="auto" w:fill="FFFFFF"/>
          </w:tcPr>
          <w:p w14:paraId="0D75D146" w14:textId="4B5C2DF0" w:rsidR="003C4AFA" w:rsidRPr="00B57B36" w:rsidRDefault="003C4AFA" w:rsidP="003C4AFA">
            <w:pPr>
              <w:pStyle w:val="CETBodytext"/>
              <w:ind w:right="-1"/>
              <w:rPr>
                <w:rFonts w:cs="Arial"/>
                <w:szCs w:val="18"/>
                <w:lang w:val="en-GB"/>
              </w:rPr>
            </w:pPr>
            <w:r w:rsidRPr="005C514B">
              <w:t>87.</w:t>
            </w:r>
            <w:r>
              <w:t>256</w:t>
            </w:r>
          </w:p>
        </w:tc>
        <w:tc>
          <w:tcPr>
            <w:tcW w:w="839" w:type="dxa"/>
            <w:shd w:val="clear" w:color="auto" w:fill="FFFFFF"/>
          </w:tcPr>
          <w:p w14:paraId="7BEA2372" w14:textId="7936A32B" w:rsidR="003C4AFA" w:rsidRPr="00743ECC" w:rsidRDefault="003C4AFA" w:rsidP="003C4AFA">
            <w:pPr>
              <w:pStyle w:val="CETBodytext"/>
              <w:ind w:right="-1"/>
            </w:pPr>
            <w:r w:rsidRPr="009E44B9">
              <w:t>60.</w:t>
            </w:r>
            <w:r>
              <w:t>379</w:t>
            </w:r>
          </w:p>
        </w:tc>
        <w:tc>
          <w:tcPr>
            <w:tcW w:w="1127" w:type="dxa"/>
            <w:tcBorders>
              <w:top w:val="single" w:sz="6" w:space="0" w:color="008000"/>
            </w:tcBorders>
            <w:shd w:val="clear" w:color="auto" w:fill="FFFFFF"/>
          </w:tcPr>
          <w:p w14:paraId="605ED562" w14:textId="18773D0D" w:rsidR="003C4AFA" w:rsidRPr="00743ECC" w:rsidRDefault="003C4AFA" w:rsidP="003C4AFA">
            <w:pPr>
              <w:pStyle w:val="CETBodytext"/>
              <w:ind w:right="-1"/>
            </w:pPr>
            <w:r w:rsidRPr="00BB1372">
              <w:t>PRLD</w:t>
            </w:r>
          </w:p>
        </w:tc>
        <w:tc>
          <w:tcPr>
            <w:tcW w:w="1673" w:type="dxa"/>
            <w:tcBorders>
              <w:top w:val="single" w:sz="6" w:space="0" w:color="008000"/>
            </w:tcBorders>
            <w:shd w:val="clear" w:color="auto" w:fill="FFFFFF"/>
          </w:tcPr>
          <w:p w14:paraId="312CEBF1" w14:textId="316DDD5C" w:rsidR="003C4AFA" w:rsidRPr="00743ECC" w:rsidRDefault="003C4AFA" w:rsidP="003C4AFA">
            <w:pPr>
              <w:pStyle w:val="CETBodytext"/>
              <w:ind w:right="-1"/>
            </w:pPr>
            <w:r w:rsidRPr="00086819">
              <w:t>(</w:t>
            </w:r>
            <w:r w:rsidRPr="00FD7A24">
              <w:t>PRLDH</w:t>
            </w:r>
            <w:r w:rsidRPr="007E4197">
              <w:rPr>
                <w:vertAlign w:val="superscript"/>
              </w:rPr>
              <w:t>+</w:t>
            </w:r>
            <w:r w:rsidRPr="00086819">
              <w:t>,</w:t>
            </w:r>
            <w:r w:rsidRPr="00EA0EBB">
              <w:t xml:space="preserve"> HCO</w:t>
            </w:r>
            <w:r w:rsidRPr="007E4197">
              <w:rPr>
                <w:vertAlign w:val="subscript"/>
              </w:rPr>
              <w:t>3</w:t>
            </w:r>
            <w:r w:rsidRPr="007E4197">
              <w:rPr>
                <w:vertAlign w:val="superscript"/>
              </w:rPr>
              <w:t>-</w:t>
            </w:r>
            <w:r w:rsidRPr="00086819">
              <w:t>)</w:t>
            </w:r>
          </w:p>
        </w:tc>
        <w:tc>
          <w:tcPr>
            <w:tcW w:w="844" w:type="dxa"/>
            <w:tcBorders>
              <w:top w:val="single" w:sz="6" w:space="0" w:color="008000"/>
            </w:tcBorders>
            <w:shd w:val="clear" w:color="auto" w:fill="FFFFFF"/>
          </w:tcPr>
          <w:p w14:paraId="23644023" w14:textId="55560FED" w:rsidR="003C4AFA" w:rsidRPr="00743ECC" w:rsidRDefault="003C4AFA" w:rsidP="003C4AFA">
            <w:pPr>
              <w:pStyle w:val="CETBodytext"/>
              <w:ind w:right="-1"/>
            </w:pPr>
            <w:r w:rsidRPr="00D303C7">
              <w:t>888.</w:t>
            </w:r>
            <w:r>
              <w:t>25</w:t>
            </w:r>
          </w:p>
        </w:tc>
        <w:tc>
          <w:tcPr>
            <w:tcW w:w="651" w:type="dxa"/>
            <w:tcBorders>
              <w:top w:val="single" w:sz="6" w:space="0" w:color="008000"/>
            </w:tcBorders>
            <w:shd w:val="clear" w:color="auto" w:fill="FFFFFF"/>
          </w:tcPr>
          <w:p w14:paraId="57FD5269" w14:textId="3C9BE766" w:rsidR="003C4AFA" w:rsidRPr="00743ECC" w:rsidRDefault="003C4AFA" w:rsidP="003C4AFA">
            <w:pPr>
              <w:pStyle w:val="CETBodytext"/>
              <w:ind w:right="-1"/>
            </w:pPr>
            <w:r w:rsidRPr="00262A96">
              <w:t>8810.9</w:t>
            </w:r>
            <w:r>
              <w:t>3</w:t>
            </w:r>
          </w:p>
        </w:tc>
      </w:tr>
      <w:tr w:rsidR="003C4AFA" w:rsidRPr="00B57B36" w14:paraId="7D3063D2" w14:textId="77777777" w:rsidTr="001335A5">
        <w:tc>
          <w:tcPr>
            <w:tcW w:w="1127" w:type="dxa"/>
            <w:shd w:val="clear" w:color="auto" w:fill="FFFFFF"/>
          </w:tcPr>
          <w:p w14:paraId="7B83FF54" w14:textId="1826129E" w:rsidR="003C4AFA" w:rsidRDefault="003C4AFA" w:rsidP="003C4AFA">
            <w:pPr>
              <w:pStyle w:val="CETBodytext"/>
              <w:ind w:right="-1"/>
              <w:rPr>
                <w:rFonts w:cs="Arial"/>
                <w:szCs w:val="18"/>
                <w:lang w:val="en-GB"/>
              </w:rPr>
            </w:pPr>
            <w:r>
              <w:t>A</w:t>
            </w:r>
            <w:r w:rsidRPr="00FD7A24">
              <w:t>P</w:t>
            </w:r>
          </w:p>
        </w:tc>
        <w:tc>
          <w:tcPr>
            <w:tcW w:w="1823" w:type="dxa"/>
            <w:shd w:val="clear" w:color="auto" w:fill="FFFFFF"/>
          </w:tcPr>
          <w:p w14:paraId="11E735C0" w14:textId="5EECECDD" w:rsidR="003C4AFA" w:rsidRPr="00B57B36" w:rsidRDefault="003C4AFA" w:rsidP="003C4AFA">
            <w:pPr>
              <w:pStyle w:val="CETBodytext"/>
              <w:ind w:right="-1"/>
              <w:rPr>
                <w:rFonts w:cs="Arial"/>
                <w:szCs w:val="18"/>
                <w:lang w:val="en-GB"/>
              </w:rPr>
            </w:pPr>
            <w:r w:rsidRPr="00EA0EBB">
              <w:t>(APH</w:t>
            </w:r>
            <w:r w:rsidRPr="007E4197">
              <w:rPr>
                <w:vertAlign w:val="superscript"/>
              </w:rPr>
              <w:t>+</w:t>
            </w:r>
            <w:r w:rsidRPr="00EA0EBB">
              <w:t>, APCO</w:t>
            </w:r>
            <w:r>
              <w:t>O</w:t>
            </w:r>
            <w:r w:rsidRPr="007E4197">
              <w:rPr>
                <w:vertAlign w:val="superscript"/>
              </w:rPr>
              <w:t>-</w:t>
            </w:r>
            <w:r w:rsidRPr="00EA0EBB">
              <w:t>)</w:t>
            </w:r>
          </w:p>
        </w:tc>
        <w:tc>
          <w:tcPr>
            <w:tcW w:w="703" w:type="dxa"/>
            <w:shd w:val="clear" w:color="auto" w:fill="FFFFFF"/>
          </w:tcPr>
          <w:p w14:paraId="6E05C084" w14:textId="49E6BC0F" w:rsidR="003C4AFA" w:rsidRPr="00B57B36" w:rsidRDefault="003C4AFA" w:rsidP="003C4AFA">
            <w:pPr>
              <w:pStyle w:val="CETBodytext"/>
              <w:ind w:right="-1"/>
              <w:rPr>
                <w:rFonts w:cs="Arial"/>
                <w:szCs w:val="18"/>
                <w:lang w:val="en-GB"/>
              </w:rPr>
            </w:pPr>
            <w:r w:rsidRPr="005C514B">
              <w:t>20.</w:t>
            </w:r>
            <w:r>
              <w:t>789</w:t>
            </w:r>
          </w:p>
        </w:tc>
        <w:tc>
          <w:tcPr>
            <w:tcW w:w="839" w:type="dxa"/>
            <w:shd w:val="clear" w:color="auto" w:fill="FFFFFF"/>
          </w:tcPr>
          <w:p w14:paraId="6DB789E0" w14:textId="73ACB37B" w:rsidR="003C4AFA" w:rsidRPr="00743ECC" w:rsidRDefault="003C4AFA" w:rsidP="003C4AFA">
            <w:pPr>
              <w:pStyle w:val="CETBodytext"/>
              <w:ind w:right="-1"/>
            </w:pPr>
            <w:r w:rsidRPr="009E44B9">
              <w:t>34.</w:t>
            </w:r>
            <w:r>
              <w:t>801</w:t>
            </w:r>
          </w:p>
        </w:tc>
        <w:tc>
          <w:tcPr>
            <w:tcW w:w="1127" w:type="dxa"/>
            <w:shd w:val="clear" w:color="auto" w:fill="FFFFFF"/>
          </w:tcPr>
          <w:p w14:paraId="35315561" w14:textId="5B44E3E6" w:rsidR="003C4AFA" w:rsidRPr="00743ECC" w:rsidRDefault="003C4AFA" w:rsidP="003C4AFA">
            <w:pPr>
              <w:pStyle w:val="CETBodytext"/>
              <w:ind w:right="-1"/>
            </w:pPr>
            <w:r w:rsidRPr="00FD7A24">
              <w:t>AP</w:t>
            </w:r>
          </w:p>
        </w:tc>
        <w:tc>
          <w:tcPr>
            <w:tcW w:w="1673" w:type="dxa"/>
            <w:shd w:val="clear" w:color="auto" w:fill="FFFFFF"/>
          </w:tcPr>
          <w:p w14:paraId="40A53F95" w14:textId="7CE7C458" w:rsidR="003C4AFA" w:rsidRPr="00743ECC" w:rsidRDefault="003C4AFA" w:rsidP="003C4AFA">
            <w:pPr>
              <w:pStyle w:val="CETBodytext"/>
              <w:ind w:right="-1"/>
            </w:pPr>
            <w:r w:rsidRPr="00086819">
              <w:t>(</w:t>
            </w:r>
            <w:r w:rsidRPr="00EA0EBB">
              <w:t>APH</w:t>
            </w:r>
            <w:r w:rsidRPr="007E4197">
              <w:rPr>
                <w:vertAlign w:val="superscript"/>
              </w:rPr>
              <w:t>+</w:t>
            </w:r>
            <w:r w:rsidRPr="00086819">
              <w:t>,</w:t>
            </w:r>
            <w:r w:rsidRPr="00EA0EBB">
              <w:t xml:space="preserve"> HCO</w:t>
            </w:r>
            <w:r w:rsidRPr="007E4197">
              <w:rPr>
                <w:vertAlign w:val="subscript"/>
              </w:rPr>
              <w:t>3</w:t>
            </w:r>
            <w:r w:rsidRPr="007E4197">
              <w:rPr>
                <w:vertAlign w:val="superscript"/>
              </w:rPr>
              <w:t>-</w:t>
            </w:r>
            <w:r w:rsidRPr="00086819">
              <w:t>)</w:t>
            </w:r>
          </w:p>
        </w:tc>
        <w:tc>
          <w:tcPr>
            <w:tcW w:w="844" w:type="dxa"/>
            <w:shd w:val="clear" w:color="auto" w:fill="FFFFFF"/>
          </w:tcPr>
          <w:p w14:paraId="1E850CB3" w14:textId="1929FA37" w:rsidR="003C4AFA" w:rsidRPr="00743ECC" w:rsidRDefault="003C4AFA" w:rsidP="003C4AFA">
            <w:pPr>
              <w:pStyle w:val="CETBodytext"/>
              <w:ind w:right="-1"/>
            </w:pPr>
            <w:r w:rsidRPr="00D303C7">
              <w:t>1959.</w:t>
            </w:r>
            <w:r>
              <w:t>25</w:t>
            </w:r>
          </w:p>
        </w:tc>
        <w:tc>
          <w:tcPr>
            <w:tcW w:w="651" w:type="dxa"/>
            <w:shd w:val="clear" w:color="auto" w:fill="FFFFFF"/>
          </w:tcPr>
          <w:p w14:paraId="7144F322" w14:textId="60A543F8" w:rsidR="003C4AFA" w:rsidRPr="00743ECC" w:rsidRDefault="003C4AFA" w:rsidP="003C4AFA">
            <w:pPr>
              <w:pStyle w:val="CETBodytext"/>
              <w:ind w:right="-1"/>
            </w:pPr>
            <w:r w:rsidRPr="00262A96">
              <w:t>1514.</w:t>
            </w:r>
            <w:r>
              <w:t>69</w:t>
            </w:r>
          </w:p>
        </w:tc>
      </w:tr>
      <w:tr w:rsidR="003C4AFA" w:rsidRPr="00B57B36" w14:paraId="312670BD" w14:textId="77777777" w:rsidTr="001335A5">
        <w:tc>
          <w:tcPr>
            <w:tcW w:w="1127" w:type="dxa"/>
            <w:shd w:val="clear" w:color="auto" w:fill="FFFFFF"/>
          </w:tcPr>
          <w:p w14:paraId="447274E3" w14:textId="4D6323DE" w:rsidR="003C4AFA" w:rsidRDefault="003C4AFA" w:rsidP="003C4AFA">
            <w:pPr>
              <w:pStyle w:val="CETBodytext"/>
              <w:ind w:right="-1"/>
              <w:rPr>
                <w:rFonts w:cs="Arial"/>
                <w:szCs w:val="18"/>
                <w:lang w:val="en-GB"/>
              </w:rPr>
            </w:pPr>
            <w:r w:rsidRPr="00FD7A24">
              <w:t>H</w:t>
            </w:r>
            <w:r w:rsidRPr="007E4197">
              <w:rPr>
                <w:vertAlign w:val="subscript"/>
              </w:rPr>
              <w:t>2</w:t>
            </w:r>
            <w:r w:rsidRPr="00FD7A24">
              <w:t>O</w:t>
            </w:r>
          </w:p>
        </w:tc>
        <w:tc>
          <w:tcPr>
            <w:tcW w:w="1823" w:type="dxa"/>
            <w:shd w:val="clear" w:color="auto" w:fill="FFFFFF"/>
          </w:tcPr>
          <w:p w14:paraId="75FAFD35" w14:textId="675A878A" w:rsidR="003C4AFA" w:rsidRPr="00B57B36" w:rsidRDefault="003C4AFA" w:rsidP="003C4AFA">
            <w:pPr>
              <w:pStyle w:val="CETBodytext"/>
              <w:ind w:right="-1"/>
              <w:rPr>
                <w:rFonts w:cs="Arial"/>
                <w:szCs w:val="18"/>
                <w:lang w:val="en-GB"/>
              </w:rPr>
            </w:pPr>
            <w:r w:rsidRPr="00EA0EBB">
              <w:t>(</w:t>
            </w:r>
            <w:r w:rsidRPr="00FD7A24">
              <w:t>PRLDH</w:t>
            </w:r>
            <w:r w:rsidRPr="007E4197">
              <w:rPr>
                <w:vertAlign w:val="superscript"/>
              </w:rPr>
              <w:t>+</w:t>
            </w:r>
            <w:r w:rsidRPr="00EA0EBB">
              <w:t>, APCO</w:t>
            </w:r>
            <w:r>
              <w:t>O</w:t>
            </w:r>
            <w:r w:rsidRPr="007E4197">
              <w:rPr>
                <w:vertAlign w:val="superscript"/>
              </w:rPr>
              <w:t>-</w:t>
            </w:r>
            <w:r w:rsidRPr="00EA0EBB">
              <w:t>)</w:t>
            </w:r>
          </w:p>
        </w:tc>
        <w:tc>
          <w:tcPr>
            <w:tcW w:w="703" w:type="dxa"/>
            <w:shd w:val="clear" w:color="auto" w:fill="FFFFFF"/>
          </w:tcPr>
          <w:p w14:paraId="38D0C4CD" w14:textId="51E066CD" w:rsidR="003C4AFA" w:rsidRPr="00B57B36" w:rsidRDefault="003C4AFA" w:rsidP="003C4AFA">
            <w:pPr>
              <w:pStyle w:val="CETBodytext"/>
              <w:ind w:right="-1"/>
              <w:rPr>
                <w:rFonts w:cs="Arial"/>
                <w:szCs w:val="18"/>
                <w:lang w:val="en-GB"/>
              </w:rPr>
            </w:pPr>
            <w:r w:rsidRPr="005C514B">
              <w:t>10.</w:t>
            </w:r>
            <w:r>
              <w:t>946</w:t>
            </w:r>
          </w:p>
        </w:tc>
        <w:tc>
          <w:tcPr>
            <w:tcW w:w="839" w:type="dxa"/>
            <w:shd w:val="clear" w:color="auto" w:fill="FFFFFF"/>
          </w:tcPr>
          <w:p w14:paraId="3C1AD1B4" w14:textId="55F1FA29" w:rsidR="003C4AFA" w:rsidRPr="00743ECC" w:rsidRDefault="003C4AFA" w:rsidP="003C4AFA">
            <w:pPr>
              <w:pStyle w:val="CETBodytext"/>
              <w:ind w:right="-1"/>
            </w:pPr>
            <w:r w:rsidRPr="009E44B9">
              <w:t>-5.</w:t>
            </w:r>
            <w:r>
              <w:t>129</w:t>
            </w:r>
          </w:p>
        </w:tc>
        <w:tc>
          <w:tcPr>
            <w:tcW w:w="1127" w:type="dxa"/>
            <w:shd w:val="clear" w:color="auto" w:fill="FFFFFF"/>
          </w:tcPr>
          <w:p w14:paraId="6BEBA913" w14:textId="0BD9BF6B" w:rsidR="003C4AFA" w:rsidRPr="00743ECC" w:rsidRDefault="003C4AFA" w:rsidP="003C4AFA">
            <w:pPr>
              <w:pStyle w:val="CETBodytext"/>
              <w:ind w:right="-1"/>
            </w:pPr>
            <w:r w:rsidRPr="00FD7A24">
              <w:t>AP</w:t>
            </w:r>
          </w:p>
        </w:tc>
        <w:tc>
          <w:tcPr>
            <w:tcW w:w="1673" w:type="dxa"/>
            <w:shd w:val="clear" w:color="auto" w:fill="FFFFFF"/>
          </w:tcPr>
          <w:p w14:paraId="4AC23111" w14:textId="3B912E68" w:rsidR="003C4AFA" w:rsidRPr="00743ECC" w:rsidRDefault="003C4AFA" w:rsidP="003C4AFA">
            <w:pPr>
              <w:pStyle w:val="CETBodytext"/>
              <w:ind w:right="-1"/>
            </w:pPr>
            <w:r w:rsidRPr="00086819">
              <w:t>(</w:t>
            </w:r>
            <w:r w:rsidRPr="00EA0EBB">
              <w:t>APH</w:t>
            </w:r>
            <w:r w:rsidRPr="007E4197">
              <w:rPr>
                <w:vertAlign w:val="superscript"/>
              </w:rPr>
              <w:t>+</w:t>
            </w:r>
            <w:r w:rsidRPr="00086819">
              <w:t>,</w:t>
            </w:r>
            <w:r w:rsidRPr="00EA0EBB">
              <w:t xml:space="preserve"> APCO</w:t>
            </w:r>
            <w:r>
              <w:t>O</w:t>
            </w:r>
            <w:r w:rsidRPr="007E4197">
              <w:rPr>
                <w:vertAlign w:val="superscript"/>
              </w:rPr>
              <w:t>-</w:t>
            </w:r>
            <w:r w:rsidRPr="00086819">
              <w:t>)</w:t>
            </w:r>
          </w:p>
        </w:tc>
        <w:tc>
          <w:tcPr>
            <w:tcW w:w="844" w:type="dxa"/>
            <w:shd w:val="clear" w:color="auto" w:fill="FFFFFF"/>
          </w:tcPr>
          <w:p w14:paraId="16E13A10" w14:textId="3DB9160F" w:rsidR="003C4AFA" w:rsidRPr="00743ECC" w:rsidRDefault="003C4AFA" w:rsidP="003C4AFA">
            <w:pPr>
              <w:pStyle w:val="CETBodytext"/>
              <w:ind w:right="-1"/>
            </w:pPr>
            <w:r w:rsidRPr="00D303C7">
              <w:t>-259.</w:t>
            </w:r>
            <w:r>
              <w:t>72</w:t>
            </w:r>
          </w:p>
        </w:tc>
        <w:tc>
          <w:tcPr>
            <w:tcW w:w="651" w:type="dxa"/>
            <w:shd w:val="clear" w:color="auto" w:fill="FFFFFF"/>
          </w:tcPr>
          <w:p w14:paraId="597D25F8" w14:textId="3F2D71C9" w:rsidR="003C4AFA" w:rsidRPr="00743ECC" w:rsidRDefault="003C4AFA" w:rsidP="003C4AFA">
            <w:pPr>
              <w:pStyle w:val="CETBodytext"/>
              <w:ind w:right="-1"/>
            </w:pPr>
            <w:r w:rsidRPr="00262A96">
              <w:t>432.83</w:t>
            </w:r>
          </w:p>
        </w:tc>
      </w:tr>
      <w:tr w:rsidR="003C4AFA" w:rsidRPr="00B57B36" w14:paraId="0A0CE484" w14:textId="77777777" w:rsidTr="001335A5">
        <w:tc>
          <w:tcPr>
            <w:tcW w:w="1127" w:type="dxa"/>
            <w:shd w:val="clear" w:color="auto" w:fill="FFFFFF"/>
          </w:tcPr>
          <w:p w14:paraId="2ABFCDBD" w14:textId="32CFFFD7" w:rsidR="003C4AFA" w:rsidRDefault="003C4AFA" w:rsidP="003C4AFA">
            <w:pPr>
              <w:pStyle w:val="CETBodytext"/>
              <w:ind w:right="-1"/>
              <w:rPr>
                <w:rFonts w:cs="Arial"/>
                <w:szCs w:val="18"/>
                <w:lang w:val="en-GB"/>
              </w:rPr>
            </w:pPr>
            <w:r w:rsidRPr="00FD7A24">
              <w:t>AP</w:t>
            </w:r>
          </w:p>
        </w:tc>
        <w:tc>
          <w:tcPr>
            <w:tcW w:w="1823" w:type="dxa"/>
            <w:shd w:val="clear" w:color="auto" w:fill="FFFFFF"/>
          </w:tcPr>
          <w:p w14:paraId="1B44A5A7" w14:textId="5D27A1EF" w:rsidR="003C4AFA" w:rsidRPr="00B57B36" w:rsidRDefault="003C4AFA" w:rsidP="003C4AFA">
            <w:pPr>
              <w:pStyle w:val="CETBodytext"/>
              <w:ind w:right="-1"/>
              <w:rPr>
                <w:rFonts w:cs="Arial"/>
                <w:szCs w:val="18"/>
                <w:lang w:val="en-GB"/>
              </w:rPr>
            </w:pPr>
            <w:r w:rsidRPr="00EA0EBB">
              <w:t>(</w:t>
            </w:r>
            <w:r w:rsidRPr="00FD7A24">
              <w:t>PRLDH</w:t>
            </w:r>
            <w:r w:rsidRPr="007E4197">
              <w:rPr>
                <w:vertAlign w:val="superscript"/>
              </w:rPr>
              <w:t>+</w:t>
            </w:r>
            <w:r w:rsidRPr="00EA0EBB">
              <w:t>, HCO</w:t>
            </w:r>
            <w:r w:rsidRPr="007E4197">
              <w:rPr>
                <w:vertAlign w:val="subscript"/>
              </w:rPr>
              <w:t>3</w:t>
            </w:r>
            <w:r w:rsidRPr="007E4197">
              <w:rPr>
                <w:vertAlign w:val="superscript"/>
              </w:rPr>
              <w:t>-</w:t>
            </w:r>
            <w:r w:rsidRPr="00EA0EBB">
              <w:t>)</w:t>
            </w:r>
          </w:p>
        </w:tc>
        <w:tc>
          <w:tcPr>
            <w:tcW w:w="703" w:type="dxa"/>
            <w:shd w:val="clear" w:color="auto" w:fill="FFFFFF"/>
          </w:tcPr>
          <w:p w14:paraId="3393B0EA" w14:textId="5968F7F3" w:rsidR="003C4AFA" w:rsidRPr="00B57B36" w:rsidRDefault="003C4AFA" w:rsidP="003C4AFA">
            <w:pPr>
              <w:pStyle w:val="CETBodytext"/>
              <w:ind w:right="-1"/>
              <w:rPr>
                <w:rFonts w:cs="Arial"/>
                <w:szCs w:val="18"/>
                <w:lang w:val="en-GB"/>
              </w:rPr>
            </w:pPr>
            <w:r w:rsidRPr="005C514B">
              <w:t>52.</w:t>
            </w:r>
            <w:r>
              <w:t>332</w:t>
            </w:r>
          </w:p>
        </w:tc>
        <w:tc>
          <w:tcPr>
            <w:tcW w:w="839" w:type="dxa"/>
            <w:shd w:val="clear" w:color="auto" w:fill="FFFFFF"/>
          </w:tcPr>
          <w:p w14:paraId="43F6D228" w14:textId="6A9CF8EB" w:rsidR="003C4AFA" w:rsidRPr="00743ECC" w:rsidRDefault="003C4AFA" w:rsidP="003C4AFA">
            <w:pPr>
              <w:pStyle w:val="CETBodytext"/>
              <w:ind w:right="-1"/>
            </w:pPr>
            <w:r w:rsidRPr="009E44B9">
              <w:t>35.</w:t>
            </w:r>
            <w:r>
              <w:t>029</w:t>
            </w:r>
          </w:p>
        </w:tc>
        <w:tc>
          <w:tcPr>
            <w:tcW w:w="1127" w:type="dxa"/>
            <w:shd w:val="clear" w:color="auto" w:fill="FFFFFF"/>
          </w:tcPr>
          <w:p w14:paraId="6EE91781" w14:textId="40E4B5A5" w:rsidR="003C4AFA" w:rsidRPr="00743ECC" w:rsidRDefault="003C4AFA" w:rsidP="003C4AFA">
            <w:pPr>
              <w:pStyle w:val="CETBodytext"/>
              <w:ind w:right="-1"/>
            </w:pPr>
            <w:r w:rsidRPr="00FD7A24">
              <w:t>AP</w:t>
            </w:r>
          </w:p>
        </w:tc>
        <w:tc>
          <w:tcPr>
            <w:tcW w:w="1673" w:type="dxa"/>
            <w:shd w:val="clear" w:color="auto" w:fill="FFFFFF"/>
          </w:tcPr>
          <w:p w14:paraId="7F379AEF" w14:textId="21194FD6" w:rsidR="003C4AFA" w:rsidRPr="00743ECC" w:rsidRDefault="003C4AFA" w:rsidP="003C4AFA">
            <w:pPr>
              <w:pStyle w:val="CETBodytext"/>
              <w:ind w:right="-1"/>
            </w:pPr>
            <w:r w:rsidRPr="00086819">
              <w:t>(</w:t>
            </w:r>
            <w:r w:rsidRPr="00FD7A24">
              <w:t>PRLDH</w:t>
            </w:r>
            <w:r w:rsidRPr="007E4197">
              <w:rPr>
                <w:vertAlign w:val="superscript"/>
              </w:rPr>
              <w:t>+</w:t>
            </w:r>
            <w:r w:rsidRPr="00086819">
              <w:t>,</w:t>
            </w:r>
            <w:r w:rsidRPr="00EA0EBB">
              <w:t xml:space="preserve"> APCO</w:t>
            </w:r>
            <w:r>
              <w:t>O</w:t>
            </w:r>
            <w:r w:rsidRPr="007E4197">
              <w:rPr>
                <w:vertAlign w:val="superscript"/>
              </w:rPr>
              <w:t>-</w:t>
            </w:r>
            <w:r w:rsidRPr="00086819">
              <w:t>)</w:t>
            </w:r>
          </w:p>
        </w:tc>
        <w:tc>
          <w:tcPr>
            <w:tcW w:w="844" w:type="dxa"/>
            <w:shd w:val="clear" w:color="auto" w:fill="FFFFFF"/>
          </w:tcPr>
          <w:p w14:paraId="133FB265" w14:textId="2AFD7D1F" w:rsidR="003C4AFA" w:rsidRPr="00743ECC" w:rsidRDefault="003C4AFA" w:rsidP="003C4AFA">
            <w:pPr>
              <w:pStyle w:val="CETBodytext"/>
              <w:ind w:right="-1"/>
            </w:pPr>
            <w:r w:rsidRPr="00D303C7">
              <w:t>530.</w:t>
            </w:r>
            <w:r>
              <w:t>30</w:t>
            </w:r>
          </w:p>
        </w:tc>
        <w:tc>
          <w:tcPr>
            <w:tcW w:w="651" w:type="dxa"/>
            <w:shd w:val="clear" w:color="auto" w:fill="FFFFFF"/>
          </w:tcPr>
          <w:p w14:paraId="0DAB9201" w14:textId="1603481D" w:rsidR="003C4AFA" w:rsidRPr="00743ECC" w:rsidRDefault="003C4AFA" w:rsidP="003C4AFA">
            <w:pPr>
              <w:pStyle w:val="CETBodytext"/>
              <w:ind w:right="-1"/>
            </w:pPr>
            <w:r w:rsidRPr="00262A96">
              <w:t>-789.</w:t>
            </w:r>
            <w:r>
              <w:t>54</w:t>
            </w:r>
          </w:p>
        </w:tc>
      </w:tr>
      <w:tr w:rsidR="003C4AFA" w:rsidRPr="00B57B36" w14:paraId="27DA7897" w14:textId="77777777" w:rsidTr="001335A5">
        <w:tc>
          <w:tcPr>
            <w:tcW w:w="1127" w:type="dxa"/>
            <w:shd w:val="clear" w:color="auto" w:fill="FFFFFF"/>
          </w:tcPr>
          <w:p w14:paraId="0AE86CF0" w14:textId="6698F7B7" w:rsidR="003C4AFA" w:rsidRDefault="003C4AFA" w:rsidP="003C4AFA">
            <w:pPr>
              <w:pStyle w:val="CETBodytext"/>
              <w:ind w:right="-1"/>
              <w:rPr>
                <w:rFonts w:cs="Arial"/>
                <w:szCs w:val="18"/>
                <w:lang w:val="en-GB"/>
              </w:rPr>
            </w:pPr>
            <w:r w:rsidRPr="00FD7A24">
              <w:t>AP</w:t>
            </w:r>
          </w:p>
        </w:tc>
        <w:tc>
          <w:tcPr>
            <w:tcW w:w="1823" w:type="dxa"/>
            <w:shd w:val="clear" w:color="auto" w:fill="FFFFFF"/>
          </w:tcPr>
          <w:p w14:paraId="11A7F414" w14:textId="3984ED99" w:rsidR="003C4AFA" w:rsidRPr="00B57B36" w:rsidRDefault="003C4AFA" w:rsidP="003C4AFA">
            <w:pPr>
              <w:pStyle w:val="CETBodytext"/>
              <w:ind w:right="-1"/>
              <w:rPr>
                <w:rFonts w:cs="Arial"/>
                <w:szCs w:val="18"/>
                <w:lang w:val="en-GB"/>
              </w:rPr>
            </w:pPr>
            <w:r w:rsidRPr="00EA0EBB">
              <w:t>(</w:t>
            </w:r>
            <w:r w:rsidRPr="00FD7A24">
              <w:t>PRLDH</w:t>
            </w:r>
            <w:r w:rsidRPr="007E4197">
              <w:rPr>
                <w:vertAlign w:val="superscript"/>
              </w:rPr>
              <w:t>+</w:t>
            </w:r>
            <w:r w:rsidRPr="00EA0EBB">
              <w:t>, APCO</w:t>
            </w:r>
            <w:r>
              <w:t>O</w:t>
            </w:r>
            <w:r w:rsidRPr="007E4197">
              <w:rPr>
                <w:vertAlign w:val="superscript"/>
              </w:rPr>
              <w:t>-</w:t>
            </w:r>
            <w:r>
              <w:t>)</w:t>
            </w:r>
          </w:p>
        </w:tc>
        <w:tc>
          <w:tcPr>
            <w:tcW w:w="703" w:type="dxa"/>
            <w:shd w:val="clear" w:color="auto" w:fill="FFFFFF"/>
          </w:tcPr>
          <w:p w14:paraId="734B6247" w14:textId="0B4081BC" w:rsidR="003C4AFA" w:rsidRPr="00B57B36" w:rsidRDefault="003C4AFA" w:rsidP="003C4AFA">
            <w:pPr>
              <w:pStyle w:val="CETBodytext"/>
              <w:ind w:right="-1"/>
              <w:rPr>
                <w:rFonts w:cs="Arial"/>
                <w:szCs w:val="18"/>
                <w:lang w:val="en-GB"/>
              </w:rPr>
            </w:pPr>
            <w:r w:rsidRPr="005C514B">
              <w:t>4.5923</w:t>
            </w:r>
          </w:p>
        </w:tc>
        <w:tc>
          <w:tcPr>
            <w:tcW w:w="839" w:type="dxa"/>
            <w:shd w:val="clear" w:color="auto" w:fill="FFFFFF"/>
          </w:tcPr>
          <w:p w14:paraId="2E0634C8" w14:textId="44B0224B" w:rsidR="003C4AFA" w:rsidRPr="00743ECC" w:rsidRDefault="003C4AFA" w:rsidP="003C4AFA">
            <w:pPr>
              <w:pStyle w:val="CETBodytext"/>
              <w:ind w:right="-1"/>
            </w:pPr>
            <w:r w:rsidRPr="009E44B9">
              <w:t>-1.3794</w:t>
            </w:r>
          </w:p>
        </w:tc>
        <w:tc>
          <w:tcPr>
            <w:tcW w:w="1127" w:type="dxa"/>
            <w:shd w:val="clear" w:color="auto" w:fill="FFFFFF"/>
          </w:tcPr>
          <w:p w14:paraId="3F23A137" w14:textId="1749F806" w:rsidR="003C4AFA" w:rsidRPr="00743ECC" w:rsidRDefault="003C4AFA" w:rsidP="003C4AFA">
            <w:pPr>
              <w:pStyle w:val="CETBodytext"/>
              <w:ind w:right="-1"/>
            </w:pPr>
            <w:r w:rsidRPr="00BB1372">
              <w:t>PRLD</w:t>
            </w:r>
          </w:p>
        </w:tc>
        <w:tc>
          <w:tcPr>
            <w:tcW w:w="1673" w:type="dxa"/>
            <w:shd w:val="clear" w:color="auto" w:fill="FFFFFF"/>
          </w:tcPr>
          <w:p w14:paraId="54EC9C89" w14:textId="0BBCC118" w:rsidR="003C4AFA" w:rsidRPr="00743ECC" w:rsidRDefault="003C4AFA" w:rsidP="003C4AFA">
            <w:pPr>
              <w:pStyle w:val="CETBodytext"/>
              <w:ind w:right="-1"/>
            </w:pPr>
            <w:r w:rsidRPr="00086819">
              <w:t>(</w:t>
            </w:r>
            <w:r w:rsidRPr="00FD7A24">
              <w:t>PRLDH</w:t>
            </w:r>
            <w:r w:rsidRPr="007E4197">
              <w:rPr>
                <w:vertAlign w:val="superscript"/>
              </w:rPr>
              <w:t>+</w:t>
            </w:r>
            <w:r w:rsidRPr="00086819">
              <w:t>,</w:t>
            </w:r>
            <w:r w:rsidRPr="00EA0EBB">
              <w:t xml:space="preserve"> APCO</w:t>
            </w:r>
            <w:r>
              <w:t>O</w:t>
            </w:r>
            <w:r w:rsidRPr="007E4197">
              <w:rPr>
                <w:vertAlign w:val="superscript"/>
              </w:rPr>
              <w:t>-</w:t>
            </w:r>
            <w:r w:rsidRPr="00086819">
              <w:t>)</w:t>
            </w:r>
          </w:p>
        </w:tc>
        <w:tc>
          <w:tcPr>
            <w:tcW w:w="844" w:type="dxa"/>
            <w:shd w:val="clear" w:color="auto" w:fill="FFFFFF"/>
          </w:tcPr>
          <w:p w14:paraId="143E20A5" w14:textId="597EB7CF" w:rsidR="003C4AFA" w:rsidRPr="00743ECC" w:rsidRDefault="003C4AFA" w:rsidP="003C4AFA">
            <w:pPr>
              <w:pStyle w:val="CETBodytext"/>
              <w:ind w:right="-1"/>
            </w:pPr>
            <w:r w:rsidRPr="00D303C7">
              <w:t>-2337.</w:t>
            </w:r>
            <w:r>
              <w:t>39</w:t>
            </w:r>
          </w:p>
        </w:tc>
        <w:tc>
          <w:tcPr>
            <w:tcW w:w="651" w:type="dxa"/>
            <w:shd w:val="clear" w:color="auto" w:fill="FFFFFF"/>
          </w:tcPr>
          <w:p w14:paraId="2E770A7F" w14:textId="16F24C5E" w:rsidR="003C4AFA" w:rsidRPr="00743ECC" w:rsidRDefault="003C4AFA" w:rsidP="003C4AFA">
            <w:pPr>
              <w:pStyle w:val="CETBodytext"/>
              <w:ind w:right="-1"/>
            </w:pPr>
            <w:r w:rsidRPr="00262A96">
              <w:t>-66.63</w:t>
            </w:r>
          </w:p>
        </w:tc>
      </w:tr>
    </w:tbl>
    <w:p w14:paraId="5A7A6A3A" w14:textId="77777777" w:rsidR="004D0952" w:rsidRDefault="004D0952" w:rsidP="000553EC">
      <w:pPr>
        <w:pStyle w:val="CETheadingx"/>
        <w:numPr>
          <w:ilvl w:val="0"/>
          <w:numId w:val="0"/>
        </w:numPr>
      </w:pPr>
    </w:p>
    <w:p w14:paraId="5AA3134F" w14:textId="78E09328" w:rsidR="001335A5" w:rsidRPr="0059236F" w:rsidRDefault="001335A5" w:rsidP="000553EC">
      <w:pPr>
        <w:pStyle w:val="CETheadingx"/>
      </w:pPr>
      <w:r>
        <w:t>Enthalpy calculations</w:t>
      </w:r>
    </w:p>
    <w:p w14:paraId="38ACFFE1" w14:textId="4FBCAAE5" w:rsidR="000553EC" w:rsidRDefault="004E7974" w:rsidP="000553EC">
      <w:pPr>
        <w:pStyle w:val="CETHeading1"/>
        <w:numPr>
          <w:ilvl w:val="0"/>
          <w:numId w:val="0"/>
        </w:numPr>
        <w:spacing w:before="0" w:after="0" w:line="264" w:lineRule="auto"/>
        <w:jc w:val="both"/>
        <w:rPr>
          <w:b w:val="0"/>
          <w:sz w:val="18"/>
          <w:szCs w:val="18"/>
        </w:rPr>
      </w:pPr>
      <w:r w:rsidRPr="004E7974">
        <w:rPr>
          <w:b w:val="0"/>
          <w:sz w:val="18"/>
          <w:szCs w:val="18"/>
        </w:rPr>
        <w:t>CO</w:t>
      </w:r>
      <w:r w:rsidRPr="008558CF">
        <w:rPr>
          <w:b w:val="0"/>
          <w:sz w:val="18"/>
          <w:szCs w:val="18"/>
          <w:vertAlign w:val="subscript"/>
        </w:rPr>
        <w:t>2</w:t>
      </w:r>
      <w:r w:rsidRPr="004E7974">
        <w:rPr>
          <w:b w:val="0"/>
          <w:sz w:val="18"/>
          <w:szCs w:val="18"/>
        </w:rPr>
        <w:t xml:space="preserve"> absorption is an exothermic </w:t>
      </w:r>
      <w:r w:rsidR="00960A31" w:rsidRPr="004E7974">
        <w:rPr>
          <w:b w:val="0"/>
          <w:sz w:val="18"/>
          <w:szCs w:val="18"/>
        </w:rPr>
        <w:t>process,</w:t>
      </w:r>
      <w:r w:rsidR="008558CF">
        <w:rPr>
          <w:b w:val="0"/>
          <w:sz w:val="18"/>
          <w:szCs w:val="18"/>
        </w:rPr>
        <w:t xml:space="preserve"> and the released heat is defined as heat of absorption, which</w:t>
      </w:r>
      <w:r w:rsidRPr="004E7974">
        <w:rPr>
          <w:b w:val="0"/>
          <w:sz w:val="18"/>
          <w:szCs w:val="18"/>
        </w:rPr>
        <w:t xml:space="preserve"> </w:t>
      </w:r>
      <w:r w:rsidR="008558CF">
        <w:rPr>
          <w:b w:val="0"/>
          <w:sz w:val="18"/>
          <w:szCs w:val="18"/>
        </w:rPr>
        <w:t xml:space="preserve">depends on </w:t>
      </w:r>
      <w:r w:rsidRPr="004E7974">
        <w:rPr>
          <w:b w:val="0"/>
          <w:sz w:val="18"/>
          <w:szCs w:val="18"/>
        </w:rPr>
        <w:t xml:space="preserve">the solvent composition and shows a weak dependency on temperature and loading. </w:t>
      </w:r>
      <w:r w:rsidR="008558CF">
        <w:rPr>
          <w:b w:val="0"/>
          <w:sz w:val="18"/>
          <w:szCs w:val="18"/>
        </w:rPr>
        <w:t>The heat</w:t>
      </w:r>
      <w:r w:rsidR="008558CF" w:rsidRPr="004E7974">
        <w:rPr>
          <w:b w:val="0"/>
          <w:sz w:val="18"/>
          <w:szCs w:val="18"/>
        </w:rPr>
        <w:t xml:space="preserve"> </w:t>
      </w:r>
      <w:r w:rsidRPr="004E7974">
        <w:rPr>
          <w:b w:val="0"/>
          <w:sz w:val="18"/>
          <w:szCs w:val="18"/>
        </w:rPr>
        <w:t>of absorption for acid gases (mainly CO</w:t>
      </w:r>
      <w:r w:rsidRPr="00BF6973">
        <w:rPr>
          <w:b w:val="0"/>
          <w:sz w:val="18"/>
          <w:szCs w:val="18"/>
          <w:vertAlign w:val="subscript"/>
        </w:rPr>
        <w:t>2</w:t>
      </w:r>
      <w:r w:rsidRPr="004E7974">
        <w:rPr>
          <w:b w:val="0"/>
          <w:sz w:val="18"/>
          <w:szCs w:val="18"/>
        </w:rPr>
        <w:t xml:space="preserve">) in </w:t>
      </w:r>
      <w:r w:rsidR="00960A31">
        <w:rPr>
          <w:b w:val="0"/>
          <w:sz w:val="18"/>
          <w:szCs w:val="18"/>
        </w:rPr>
        <w:t>amine</w:t>
      </w:r>
      <w:r w:rsidRPr="004E7974">
        <w:rPr>
          <w:b w:val="0"/>
          <w:sz w:val="18"/>
          <w:szCs w:val="18"/>
        </w:rPr>
        <w:t xml:space="preserve"> solutions must be predicted with </w:t>
      </w:r>
      <w:r w:rsidR="000553EC">
        <w:rPr>
          <w:b w:val="0"/>
          <w:sz w:val="18"/>
          <w:szCs w:val="18"/>
        </w:rPr>
        <w:t>sufficient</w:t>
      </w:r>
      <w:r w:rsidRPr="004E7974">
        <w:rPr>
          <w:b w:val="0"/>
          <w:sz w:val="18"/>
          <w:szCs w:val="18"/>
        </w:rPr>
        <w:t xml:space="preserve"> accuracy by VLE models for process design purposes, since it directly influences the steam requirements associated with amine regeneration, thus the operatin</w:t>
      </w:r>
      <w:r w:rsidR="00EC10DB">
        <w:rPr>
          <w:b w:val="0"/>
          <w:sz w:val="18"/>
          <w:szCs w:val="18"/>
        </w:rPr>
        <w:t>g costs</w:t>
      </w:r>
      <w:r w:rsidRPr="004E7974">
        <w:rPr>
          <w:b w:val="0"/>
          <w:sz w:val="18"/>
          <w:szCs w:val="18"/>
        </w:rPr>
        <w:t>.</w:t>
      </w:r>
      <w:r w:rsidR="00960A31">
        <w:rPr>
          <w:b w:val="0"/>
          <w:sz w:val="18"/>
          <w:szCs w:val="18"/>
        </w:rPr>
        <w:t xml:space="preserve"> </w:t>
      </w:r>
      <w:r w:rsidR="00441E01">
        <w:rPr>
          <w:b w:val="0"/>
          <w:sz w:val="18"/>
          <w:szCs w:val="18"/>
        </w:rPr>
        <w:t xml:space="preserve">The enthalpy of a generic species </w:t>
      </w:r>
      <w:r w:rsidR="00B06EA9">
        <w:rPr>
          <w:b w:val="0"/>
          <w:sz w:val="18"/>
          <w:szCs w:val="18"/>
        </w:rPr>
        <w:t>can be calculated</w:t>
      </w:r>
      <w:r w:rsidR="0047501D">
        <w:rPr>
          <w:b w:val="0"/>
          <w:sz w:val="18"/>
          <w:szCs w:val="18"/>
        </w:rPr>
        <w:t xml:space="preserve"> in </w:t>
      </w:r>
      <w:r w:rsidR="00960A31">
        <w:rPr>
          <w:b w:val="0"/>
          <w:sz w:val="18"/>
          <w:szCs w:val="18"/>
        </w:rPr>
        <w:t>an</w:t>
      </w:r>
      <w:r w:rsidR="0047501D">
        <w:rPr>
          <w:b w:val="0"/>
          <w:sz w:val="18"/>
          <w:szCs w:val="18"/>
        </w:rPr>
        <w:t xml:space="preserve"> Aspen Plus ELECNRTL model </w:t>
      </w:r>
      <w:r w:rsidR="00B06EA9">
        <w:rPr>
          <w:b w:val="0"/>
          <w:sz w:val="18"/>
          <w:szCs w:val="18"/>
        </w:rPr>
        <w:t>by expressions (1</w:t>
      </w:r>
      <w:r w:rsidR="00960A31">
        <w:rPr>
          <w:b w:val="0"/>
          <w:sz w:val="18"/>
          <w:szCs w:val="18"/>
        </w:rPr>
        <w:t>0</w:t>
      </w:r>
      <w:r w:rsidR="00B06EA9">
        <w:rPr>
          <w:b w:val="0"/>
          <w:sz w:val="18"/>
          <w:szCs w:val="18"/>
        </w:rPr>
        <w:t>). These calculations require</w:t>
      </w:r>
      <w:r w:rsidR="0047501D">
        <w:rPr>
          <w:b w:val="0"/>
          <w:sz w:val="18"/>
          <w:szCs w:val="18"/>
        </w:rPr>
        <w:t xml:space="preserve"> </w:t>
      </w:r>
      <w:r w:rsidR="005F4AA4">
        <w:rPr>
          <w:b w:val="0"/>
          <w:sz w:val="18"/>
          <w:szCs w:val="18"/>
        </w:rPr>
        <w:t xml:space="preserve">the definition of </w:t>
      </w:r>
      <w:r w:rsidR="00960A31">
        <w:rPr>
          <w:b w:val="0"/>
          <w:sz w:val="18"/>
          <w:szCs w:val="18"/>
        </w:rPr>
        <w:t>the liquid specific</w:t>
      </w:r>
      <w:r w:rsidR="005F4AA4">
        <w:rPr>
          <w:b w:val="0"/>
          <w:sz w:val="18"/>
          <w:szCs w:val="18"/>
        </w:rPr>
        <w:t xml:space="preserve"> heat as a function of temperature for species</w:t>
      </w:r>
      <w:r w:rsidR="00B06EA9">
        <w:rPr>
          <w:b w:val="0"/>
          <w:sz w:val="18"/>
          <w:szCs w:val="18"/>
        </w:rPr>
        <w:t xml:space="preserve"> (at infinite dilution for ions)</w:t>
      </w:r>
      <w:r w:rsidR="005F4AA4">
        <w:rPr>
          <w:b w:val="0"/>
          <w:sz w:val="18"/>
          <w:szCs w:val="18"/>
        </w:rPr>
        <w:t xml:space="preserve">, </w:t>
      </w:r>
      <w:r w:rsidR="0088612C">
        <w:rPr>
          <w:b w:val="0"/>
          <w:sz w:val="18"/>
          <w:szCs w:val="18"/>
        </w:rPr>
        <w:t xml:space="preserve">vaporization enthalpy, </w:t>
      </w:r>
      <w:r w:rsidR="005F4AA4">
        <w:rPr>
          <w:b w:val="0"/>
          <w:sz w:val="18"/>
          <w:szCs w:val="18"/>
        </w:rPr>
        <w:t>as well as their enthalpy of formation</w:t>
      </w:r>
      <w:r w:rsidR="0088612C">
        <w:rPr>
          <w:b w:val="0"/>
          <w:sz w:val="18"/>
          <w:szCs w:val="18"/>
        </w:rPr>
        <w:t xml:space="preserve"> (ideal gas f</w:t>
      </w:r>
      <w:r w:rsidR="008558CF">
        <w:rPr>
          <w:b w:val="0"/>
          <w:sz w:val="18"/>
          <w:szCs w:val="18"/>
        </w:rPr>
        <w:t>o</w:t>
      </w:r>
      <w:r w:rsidR="0088612C">
        <w:rPr>
          <w:b w:val="0"/>
          <w:sz w:val="18"/>
          <w:szCs w:val="18"/>
        </w:rPr>
        <w:t>r molecules and aqueous solution for ions)</w:t>
      </w:r>
      <w:r w:rsidR="005F4AA4">
        <w:rPr>
          <w:b w:val="0"/>
          <w:sz w:val="18"/>
          <w:szCs w:val="18"/>
        </w:rPr>
        <w:t xml:space="preserve">. </w:t>
      </w:r>
      <w:r w:rsidR="00934AE6">
        <w:rPr>
          <w:b w:val="0"/>
          <w:sz w:val="18"/>
          <w:szCs w:val="18"/>
        </w:rPr>
        <w:t>In absence of experimental observations, t</w:t>
      </w:r>
      <w:r w:rsidR="00934AE6" w:rsidRPr="00934AE6">
        <w:rPr>
          <w:b w:val="0"/>
          <w:sz w:val="18"/>
          <w:szCs w:val="18"/>
        </w:rPr>
        <w:t>he format</w:t>
      </w:r>
      <w:r w:rsidR="00934AE6">
        <w:rPr>
          <w:b w:val="0"/>
          <w:sz w:val="18"/>
          <w:szCs w:val="18"/>
        </w:rPr>
        <w:t>ion enthalp</w:t>
      </w:r>
      <w:r w:rsidR="00960A31">
        <w:rPr>
          <w:b w:val="0"/>
          <w:sz w:val="18"/>
          <w:szCs w:val="18"/>
        </w:rPr>
        <w:t>ies</w:t>
      </w:r>
      <w:r w:rsidR="00934AE6">
        <w:rPr>
          <w:b w:val="0"/>
          <w:sz w:val="18"/>
          <w:szCs w:val="18"/>
        </w:rPr>
        <w:t xml:space="preserve"> of AP and PRLD </w:t>
      </w:r>
      <w:r w:rsidR="00960A31">
        <w:rPr>
          <w:b w:val="0"/>
          <w:sz w:val="18"/>
          <w:szCs w:val="18"/>
        </w:rPr>
        <w:t>are</w:t>
      </w:r>
      <w:r w:rsidR="00934AE6" w:rsidRPr="00934AE6">
        <w:rPr>
          <w:b w:val="0"/>
          <w:sz w:val="18"/>
          <w:szCs w:val="18"/>
        </w:rPr>
        <w:t xml:space="preserve"> approximately estimated by means of Gani</w:t>
      </w:r>
      <w:r w:rsidR="00960A31">
        <w:rPr>
          <w:b w:val="0"/>
          <w:sz w:val="18"/>
          <w:szCs w:val="18"/>
        </w:rPr>
        <w:t>’s</w:t>
      </w:r>
      <w:r w:rsidR="00934AE6" w:rsidRPr="00934AE6">
        <w:rPr>
          <w:b w:val="0"/>
          <w:sz w:val="18"/>
          <w:szCs w:val="18"/>
        </w:rPr>
        <w:t xml:space="preserve"> group contribution </w:t>
      </w:r>
      <w:r w:rsidR="00934AE6" w:rsidRPr="00934AE6">
        <w:rPr>
          <w:b w:val="0"/>
          <w:sz w:val="18"/>
          <w:szCs w:val="18"/>
        </w:rPr>
        <w:lastRenderedPageBreak/>
        <w:t>method (Constantinou and Gani, 1994)</w:t>
      </w:r>
      <w:r w:rsidR="00B06EA9">
        <w:rPr>
          <w:b w:val="0"/>
          <w:sz w:val="18"/>
          <w:szCs w:val="18"/>
        </w:rPr>
        <w:t xml:space="preserve">, while the formation enthalpies of protonated amines and carbamate </w:t>
      </w:r>
      <w:r w:rsidR="00960A31">
        <w:rPr>
          <w:b w:val="0"/>
          <w:sz w:val="18"/>
          <w:szCs w:val="18"/>
        </w:rPr>
        <w:t>are</w:t>
      </w:r>
      <w:r w:rsidR="00B06EA9">
        <w:rPr>
          <w:b w:val="0"/>
          <w:sz w:val="18"/>
          <w:szCs w:val="18"/>
        </w:rPr>
        <w:t xml:space="preserve"> </w:t>
      </w:r>
      <w:r w:rsidR="00B06EA9" w:rsidRPr="00B06EA9">
        <w:rPr>
          <w:b w:val="0"/>
          <w:sz w:val="18"/>
          <w:szCs w:val="18"/>
        </w:rPr>
        <w:t xml:space="preserve">regressed from absorption heat data </w:t>
      </w:r>
      <w:r w:rsidR="00B06EA9">
        <w:rPr>
          <w:b w:val="0"/>
          <w:sz w:val="18"/>
          <w:szCs w:val="18"/>
        </w:rPr>
        <w:t xml:space="preserve">for pure AP and PRLD amine solutions </w:t>
      </w:r>
      <w:r w:rsidR="00B06EA9" w:rsidRPr="00B06EA9">
        <w:rPr>
          <w:b w:val="0"/>
          <w:sz w:val="18"/>
          <w:szCs w:val="18"/>
        </w:rPr>
        <w:t>at a fixed temperature</w:t>
      </w:r>
      <w:r w:rsidR="00B06EA9">
        <w:rPr>
          <w:b w:val="0"/>
          <w:sz w:val="18"/>
          <w:szCs w:val="18"/>
        </w:rPr>
        <w:t xml:space="preserve"> </w:t>
      </w:r>
      <w:r w:rsidR="00960A31">
        <w:rPr>
          <w:b w:val="0"/>
          <w:sz w:val="18"/>
          <w:szCs w:val="18"/>
        </w:rPr>
        <w:t xml:space="preserve">using </w:t>
      </w:r>
      <w:r w:rsidR="00B06EA9">
        <w:rPr>
          <w:b w:val="0"/>
          <w:sz w:val="18"/>
          <w:szCs w:val="18"/>
        </w:rPr>
        <w:t>(</w:t>
      </w:r>
      <w:r w:rsidR="00B06EA9" w:rsidRPr="00C81563">
        <w:rPr>
          <w:b w:val="0"/>
          <w:sz w:val="18"/>
          <w:szCs w:val="18"/>
        </w:rPr>
        <w:t>Realise, 2022</w:t>
      </w:r>
      <w:r w:rsidR="00B06EA9">
        <w:rPr>
          <w:b w:val="0"/>
          <w:sz w:val="18"/>
          <w:szCs w:val="18"/>
        </w:rPr>
        <w:t>), neglecting the loading dependence.</w:t>
      </w:r>
      <w:r w:rsidR="00554843">
        <w:rPr>
          <w:b w:val="0"/>
          <w:sz w:val="18"/>
          <w:szCs w:val="18"/>
        </w:rPr>
        <w:t xml:space="preserve"> Liquid heat capacity </w:t>
      </w:r>
      <w:r w:rsidR="00960A31">
        <w:rPr>
          <w:b w:val="0"/>
          <w:sz w:val="18"/>
          <w:szCs w:val="18"/>
        </w:rPr>
        <w:t>is</w:t>
      </w:r>
      <w:r w:rsidR="00554843">
        <w:rPr>
          <w:b w:val="0"/>
          <w:sz w:val="18"/>
          <w:szCs w:val="18"/>
        </w:rPr>
        <w:t xml:space="preserve"> fitted to published and in-house experimental data</w:t>
      </w:r>
      <w:r w:rsidR="00554843" w:rsidRPr="00554843">
        <w:t xml:space="preserve"> </w:t>
      </w:r>
      <w:r w:rsidR="00672C5E">
        <w:rPr>
          <w:b w:val="0"/>
          <w:bCs/>
        </w:rPr>
        <w:t>(</w:t>
      </w:r>
      <w:r w:rsidR="00554843" w:rsidRPr="00554843">
        <w:rPr>
          <w:b w:val="0"/>
          <w:sz w:val="18"/>
          <w:szCs w:val="18"/>
        </w:rPr>
        <w:t>Mundhwa and Henni, 2007; Realise</w:t>
      </w:r>
      <w:r w:rsidR="004C6105">
        <w:rPr>
          <w:b w:val="0"/>
          <w:sz w:val="18"/>
          <w:szCs w:val="18"/>
        </w:rPr>
        <w:t>, 2022</w:t>
      </w:r>
      <w:r w:rsidR="00554843">
        <w:rPr>
          <w:b w:val="0"/>
          <w:sz w:val="18"/>
          <w:szCs w:val="18"/>
        </w:rPr>
        <w:t>).</w:t>
      </w:r>
      <w:r w:rsidR="0077565E">
        <w:rPr>
          <w:b w:val="0"/>
          <w:sz w:val="18"/>
          <w:szCs w:val="18"/>
        </w:rPr>
        <w:t xml:space="preserve"> </w:t>
      </w:r>
      <w:r w:rsidR="006E52F5">
        <w:rPr>
          <w:b w:val="0"/>
          <w:sz w:val="18"/>
          <w:szCs w:val="18"/>
        </w:rPr>
        <w:t>The h</w:t>
      </w:r>
      <w:r w:rsidR="0077565E">
        <w:rPr>
          <w:b w:val="0"/>
          <w:sz w:val="18"/>
          <w:szCs w:val="18"/>
        </w:rPr>
        <w:t>eat of vaporization is calculated from available ideal gas and liquid heat capacity data for both amines</w:t>
      </w:r>
      <w:r w:rsidR="006E52F5">
        <w:rPr>
          <w:b w:val="0"/>
          <w:sz w:val="18"/>
          <w:szCs w:val="18"/>
        </w:rPr>
        <w:t>, as reported in</w:t>
      </w:r>
      <w:r w:rsidR="00C81563">
        <w:rPr>
          <w:b w:val="0"/>
          <w:sz w:val="18"/>
          <w:szCs w:val="18"/>
        </w:rPr>
        <w:t xml:space="preserve"> </w:t>
      </w:r>
      <w:r w:rsidR="00672C5E">
        <w:rPr>
          <w:b w:val="0"/>
          <w:sz w:val="18"/>
          <w:szCs w:val="18"/>
        </w:rPr>
        <w:t>(</w:t>
      </w:r>
      <w:r w:rsidR="00C81563">
        <w:rPr>
          <w:b w:val="0"/>
          <w:sz w:val="18"/>
          <w:szCs w:val="18"/>
        </w:rPr>
        <w:t>Gilardi et al</w:t>
      </w:r>
      <w:r w:rsidR="0077565E">
        <w:rPr>
          <w:b w:val="0"/>
          <w:sz w:val="18"/>
          <w:szCs w:val="18"/>
        </w:rPr>
        <w:t>.</w:t>
      </w:r>
      <w:r w:rsidR="00672C5E">
        <w:rPr>
          <w:b w:val="0"/>
          <w:sz w:val="18"/>
          <w:szCs w:val="18"/>
        </w:rPr>
        <w:t>)</w:t>
      </w:r>
    </w:p>
    <w:p w14:paraId="1FCE1743" w14:textId="43769E8A" w:rsidR="001335A5" w:rsidRDefault="00554843" w:rsidP="000553EC">
      <w:pPr>
        <w:pStyle w:val="CETHeading1"/>
        <w:numPr>
          <w:ilvl w:val="0"/>
          <w:numId w:val="0"/>
        </w:numPr>
        <w:spacing w:before="0" w:after="0" w:line="264" w:lineRule="auto"/>
        <w:jc w:val="both"/>
        <w:rPr>
          <w:b w:val="0"/>
          <w:sz w:val="18"/>
          <w:szCs w:val="18"/>
        </w:rPr>
      </w:pPr>
      <w:r>
        <w:rPr>
          <w:b w:val="0"/>
          <w:sz w:val="18"/>
          <w:szCs w:val="18"/>
        </w:rPr>
        <w:t xml:space="preserve"> </w:t>
      </w:r>
    </w:p>
    <w:tbl>
      <w:tblPr>
        <w:tblW w:w="5000" w:type="pct"/>
        <w:tblLook w:val="04A0" w:firstRow="1" w:lastRow="0" w:firstColumn="1" w:lastColumn="0" w:noHBand="0" w:noVBand="1"/>
      </w:tblPr>
      <w:tblGrid>
        <w:gridCol w:w="7981"/>
        <w:gridCol w:w="806"/>
      </w:tblGrid>
      <w:tr w:rsidR="00441E01" w:rsidRPr="00B57B36" w14:paraId="46ED4A97" w14:textId="77777777" w:rsidTr="00D648C2">
        <w:tc>
          <w:tcPr>
            <w:tcW w:w="7972" w:type="dxa"/>
            <w:shd w:val="clear" w:color="auto" w:fill="auto"/>
            <w:vAlign w:val="center"/>
          </w:tcPr>
          <w:p w14:paraId="4A569A63" w14:textId="153BE71D" w:rsidR="00441E01" w:rsidRPr="00B57B36" w:rsidRDefault="00000000" w:rsidP="00546FAC">
            <w:pPr>
              <w:pStyle w:val="CETEquation"/>
              <w:spacing w:before="0" w:after="0" w:line="240" w:lineRule="auto"/>
            </w:pPr>
            <m:oMathPara>
              <m:oMath>
                <m:sSub>
                  <m:sSubPr>
                    <m:ctrlPr>
                      <w:rPr>
                        <w:rFonts w:ascii="Cambria Math" w:hAnsi="Cambria Math"/>
                        <w:i/>
                      </w:rPr>
                    </m:ctrlPr>
                  </m:sSubPr>
                  <m:e>
                    <m:r>
                      <w:rPr>
                        <w:rFonts w:ascii="Cambria Math"/>
                      </w:rPr>
                      <m:t>H</m:t>
                    </m:r>
                  </m:e>
                  <m:sub>
                    <m:r>
                      <w:rPr>
                        <w:rFonts w:ascii="Cambria Math"/>
                      </w:rPr>
                      <m:t>i</m:t>
                    </m:r>
                  </m:sub>
                </m:sSub>
                <m:r>
                  <w:rPr>
                    <w:rFonts w:ascii="Cambria Math"/>
                  </w:rPr>
                  <m:t>(T)=Δ</m:t>
                </m:r>
                <m:sSubSup>
                  <m:sSubSupPr>
                    <m:ctrlPr>
                      <w:rPr>
                        <w:rFonts w:ascii="Cambria Math" w:hAnsi="Cambria Math"/>
                        <w:i/>
                      </w:rPr>
                    </m:ctrlPr>
                  </m:sSubSupPr>
                  <m:e>
                    <m:r>
                      <w:rPr>
                        <w:rFonts w:ascii="Cambria Math"/>
                      </w:rPr>
                      <m:t>H</m:t>
                    </m:r>
                  </m:e>
                  <m:sub>
                    <m:r>
                      <w:rPr>
                        <w:rFonts w:ascii="Cambria Math"/>
                      </w:rPr>
                      <m:t>f,i</m:t>
                    </m:r>
                  </m:sub>
                  <m:sup>
                    <m:r>
                      <w:rPr>
                        <w:rFonts w:ascii="Cambria Math"/>
                      </w:rPr>
                      <m:t>0</m:t>
                    </m:r>
                  </m:sup>
                </m:sSubSup>
                <m:r>
                  <w:rPr>
                    <w:rFonts w:ascii="Cambria Math"/>
                  </w:rPr>
                  <m:t>(298.15K)</m:t>
                </m:r>
                <m:r>
                  <w:rPr>
                    <w:rFonts w:ascii="Cambria Math"/>
                  </w:rPr>
                  <m:t>-</m:t>
                </m:r>
                <m:r>
                  <w:rPr>
                    <w:rFonts w:ascii="Cambria Math"/>
                  </w:rPr>
                  <m:t>Δ</m:t>
                </m:r>
                <m:sSup>
                  <m:sSupPr>
                    <m:ctrlPr>
                      <w:rPr>
                        <w:rFonts w:ascii="Cambria Math" w:hAnsi="Cambria Math"/>
                        <w:i/>
                      </w:rPr>
                    </m:ctrlPr>
                  </m:sSupPr>
                  <m:e>
                    <m:r>
                      <w:rPr>
                        <w:rFonts w:ascii="Cambria Math"/>
                      </w:rPr>
                      <m:t>H</m:t>
                    </m:r>
                  </m:e>
                  <m:sup>
                    <m:r>
                      <w:rPr>
                        <w:rFonts w:ascii="Cambria Math"/>
                      </w:rPr>
                      <m:t>EV</m:t>
                    </m:r>
                  </m:sup>
                </m:sSup>
                <m:r>
                  <w:rPr>
                    <w:rFonts w:ascii="Cambria Math"/>
                  </w:rPr>
                  <m:t>(298.15K)+</m:t>
                </m:r>
                <m:nary>
                  <m:naryPr>
                    <m:ctrlPr>
                      <w:rPr>
                        <w:rFonts w:ascii="Cambria Math" w:hAnsi="Cambria Math"/>
                        <w:i/>
                      </w:rPr>
                    </m:ctrlPr>
                  </m:naryPr>
                  <m:sub>
                    <m:r>
                      <w:rPr>
                        <w:rFonts w:ascii="Cambria Math"/>
                      </w:rPr>
                      <m:t>298.15</m:t>
                    </m:r>
                  </m:sub>
                  <m:sup>
                    <m:r>
                      <w:rPr>
                        <w:rFonts w:ascii="Cambria Math"/>
                      </w:rPr>
                      <m:t>T</m:t>
                    </m:r>
                  </m:sup>
                  <m:e>
                    <m:r>
                      <w:rPr>
                        <w:rFonts w:ascii="Cambria Math"/>
                      </w:rPr>
                      <m:t>c</m:t>
                    </m:r>
                    <m:sSubSup>
                      <m:sSubSupPr>
                        <m:ctrlPr>
                          <w:rPr>
                            <w:rFonts w:ascii="Cambria Math" w:hAnsi="Cambria Math"/>
                            <w:i/>
                          </w:rPr>
                        </m:ctrlPr>
                      </m:sSubSupPr>
                      <m:e>
                        <m:r>
                          <w:rPr>
                            <w:rFonts w:ascii="Cambria Math"/>
                          </w:rPr>
                          <m:t>p</m:t>
                        </m:r>
                      </m:e>
                      <m:sub>
                        <m:r>
                          <w:rPr>
                            <w:rFonts w:ascii="Cambria Math"/>
                          </w:rPr>
                          <m:t>i</m:t>
                        </m:r>
                      </m:sub>
                      <m:sup>
                        <m:r>
                          <w:rPr>
                            <w:rFonts w:ascii="Cambria Math"/>
                          </w:rPr>
                          <m:t>liq</m:t>
                        </m:r>
                      </m:sup>
                    </m:sSubSup>
                    <m:r>
                      <w:rPr>
                        <w:rFonts w:ascii="Cambria Math"/>
                      </w:rPr>
                      <m:t>(T)</m:t>
                    </m:r>
                    <m:r>
                      <w:rPr>
                        <w:rFonts w:ascii="MS Mincho" w:eastAsia="MS Mincho" w:hAnsi="MS Mincho" w:cs="MS Mincho" w:hint="eastAsia"/>
                      </w:rPr>
                      <m:t>⋅</m:t>
                    </m:r>
                    <m:r>
                      <w:rPr>
                        <w:rFonts w:ascii="Cambria Math"/>
                      </w:rPr>
                      <m:t>dT</m:t>
                    </m:r>
                  </m:e>
                </m:nary>
              </m:oMath>
            </m:oMathPara>
          </w:p>
        </w:tc>
        <w:tc>
          <w:tcPr>
            <w:tcW w:w="805" w:type="dxa"/>
            <w:shd w:val="clear" w:color="auto" w:fill="auto"/>
            <w:vAlign w:val="center"/>
          </w:tcPr>
          <w:p w14:paraId="776DB608" w14:textId="2301FB26" w:rsidR="00441E01" w:rsidRPr="00B57B36" w:rsidRDefault="00441E01" w:rsidP="00441E01">
            <w:pPr>
              <w:pStyle w:val="CETEquation"/>
              <w:spacing w:before="0" w:after="0" w:line="240" w:lineRule="auto"/>
              <w:jc w:val="right"/>
            </w:pPr>
            <w:r w:rsidRPr="00B57B36">
              <w:t>(</w:t>
            </w:r>
            <w:r>
              <w:t>1</w:t>
            </w:r>
            <w:r w:rsidR="00960A31">
              <w:t>0</w:t>
            </w:r>
            <w:r w:rsidRPr="00B57B36">
              <w:t>)</w:t>
            </w:r>
          </w:p>
        </w:tc>
      </w:tr>
    </w:tbl>
    <w:p w14:paraId="75D0A34E" w14:textId="17908F17" w:rsidR="0098323C" w:rsidRPr="00B57B36" w:rsidRDefault="0098323C" w:rsidP="0098323C">
      <w:pPr>
        <w:pStyle w:val="CETHeading1"/>
        <w:rPr>
          <w:lang w:val="en-GB"/>
        </w:rPr>
      </w:pPr>
      <w:r>
        <w:rPr>
          <w:lang w:val="en-GB"/>
        </w:rPr>
        <w:t>VLE Model testing</w:t>
      </w:r>
    </w:p>
    <w:p w14:paraId="6F1C940D" w14:textId="75EFB398" w:rsidR="007A2BB5" w:rsidRDefault="00F778C2" w:rsidP="007A2BB5">
      <w:pPr>
        <w:pStyle w:val="CETBodytext"/>
      </w:pPr>
      <w:r>
        <w:rPr>
          <w:lang w:val="en-GB"/>
        </w:rPr>
        <w:t xml:space="preserve">The Aspen Plus VLE model for </w:t>
      </w:r>
      <w:r w:rsidR="00960A31">
        <w:rPr>
          <w:lang w:val="en-GB"/>
        </w:rPr>
        <w:t xml:space="preserve">the </w:t>
      </w:r>
      <w:r>
        <w:rPr>
          <w:lang w:val="en-GB"/>
        </w:rPr>
        <w:t>HS3</w:t>
      </w:r>
      <w:r w:rsidR="00960A31">
        <w:rPr>
          <w:lang w:val="en-GB"/>
        </w:rPr>
        <w:t xml:space="preserve"> blend</w:t>
      </w:r>
      <w:r>
        <w:rPr>
          <w:lang w:val="en-GB"/>
        </w:rPr>
        <w:t xml:space="preserve"> has been tested </w:t>
      </w:r>
      <w:r w:rsidR="00960A31">
        <w:rPr>
          <w:lang w:val="en-GB"/>
        </w:rPr>
        <w:t>against the</w:t>
      </w:r>
      <w:r>
        <w:rPr>
          <w:lang w:val="en-GB"/>
        </w:rPr>
        <w:t xml:space="preserve"> CO</w:t>
      </w:r>
      <w:r w:rsidRPr="007534E5">
        <w:rPr>
          <w:vertAlign w:val="subscript"/>
          <w:lang w:val="en-GB"/>
        </w:rPr>
        <w:t>2</w:t>
      </w:r>
      <w:r>
        <w:rPr>
          <w:lang w:val="en-GB"/>
        </w:rPr>
        <w:t xml:space="preserve"> partial </w:t>
      </w:r>
      <w:r w:rsidR="00960A31">
        <w:rPr>
          <w:lang w:val="en-GB"/>
        </w:rPr>
        <w:t>pressure experimental values</w:t>
      </w:r>
      <w:r>
        <w:rPr>
          <w:lang w:val="en-GB"/>
        </w:rPr>
        <w:t xml:space="preserve"> </w:t>
      </w:r>
      <w:r w:rsidR="001F1450">
        <w:rPr>
          <w:lang w:val="en-GB"/>
        </w:rPr>
        <w:t>(Figure 1)</w:t>
      </w:r>
      <w:r w:rsidR="007534E5">
        <w:rPr>
          <w:lang w:val="en-GB"/>
        </w:rPr>
        <w:t xml:space="preserve">. </w:t>
      </w:r>
      <w:r w:rsidR="007534E5" w:rsidRPr="00743ECC">
        <w:rPr>
          <w:noProof/>
        </w:rPr>
        <w:t xml:space="preserve">The ELECNRTL model </w:t>
      </w:r>
      <w:r w:rsidR="007534E5">
        <w:rPr>
          <w:noProof/>
        </w:rPr>
        <w:t>can represent with sufficient accuracy</w:t>
      </w:r>
      <w:r w:rsidR="007534E5" w:rsidRPr="00743ECC">
        <w:rPr>
          <w:noProof/>
        </w:rPr>
        <w:t xml:space="preserve"> the equilibrium conditions</w:t>
      </w:r>
      <w:r w:rsidR="007534E5">
        <w:rPr>
          <w:noProof/>
        </w:rPr>
        <w:t xml:space="preserve"> in the temperature (40°C-120°C) and loading (0.1 – 0.5</w:t>
      </w:r>
      <w:r w:rsidR="00543B1B">
        <w:rPr>
          <w:noProof/>
        </w:rPr>
        <w:t xml:space="preserve"> mol</w:t>
      </w:r>
      <w:r w:rsidR="00543B1B" w:rsidRPr="00543B1B">
        <w:rPr>
          <w:noProof/>
          <w:vertAlign w:val="subscript"/>
        </w:rPr>
        <w:t>CO2</w:t>
      </w:r>
      <w:r w:rsidR="00543B1B">
        <w:rPr>
          <w:noProof/>
        </w:rPr>
        <w:t>/mol</w:t>
      </w:r>
      <w:r w:rsidR="00543B1B" w:rsidRPr="00543B1B">
        <w:rPr>
          <w:noProof/>
          <w:vertAlign w:val="subscript"/>
        </w:rPr>
        <w:t>amines</w:t>
      </w:r>
      <w:r w:rsidR="007534E5">
        <w:rPr>
          <w:noProof/>
        </w:rPr>
        <w:t xml:space="preserve">) </w:t>
      </w:r>
      <w:r w:rsidR="000E33AB">
        <w:rPr>
          <w:noProof/>
        </w:rPr>
        <w:t>domains</w:t>
      </w:r>
      <w:r w:rsidR="007534E5">
        <w:rPr>
          <w:noProof/>
        </w:rPr>
        <w:t xml:space="preserve"> of interest for both absorption and solvent regeneration.</w:t>
      </w:r>
      <w:r w:rsidR="00D47C09">
        <w:rPr>
          <w:lang w:val="en-GB"/>
        </w:rPr>
        <w:t xml:space="preserve"> </w:t>
      </w:r>
      <w:r w:rsidR="00D85E77">
        <w:rPr>
          <w:lang w:val="en-GB"/>
        </w:rPr>
        <w:t>The profiles show smooth trends, allowing the model to be extrapolated at slightly higher and lower loadings with respect to the ones covered by experimental observations</w:t>
      </w:r>
      <w:r w:rsidR="00FF3ADF">
        <w:rPr>
          <w:lang w:val="en-GB"/>
        </w:rPr>
        <w:t>.</w:t>
      </w:r>
      <w:r w:rsidR="007A2BB5">
        <w:rPr>
          <w:lang w:val="en-GB"/>
        </w:rPr>
        <w:t xml:space="preserve"> The accuracy and the prediction capacity of the model are </w:t>
      </w:r>
      <w:r w:rsidR="00D47C09">
        <w:rPr>
          <w:lang w:val="en-GB"/>
        </w:rPr>
        <w:t>quantified</w:t>
      </w:r>
      <w:r w:rsidR="007A2BB5">
        <w:rPr>
          <w:lang w:val="en-GB"/>
        </w:rPr>
        <w:t xml:space="preserve"> by statistical </w:t>
      </w:r>
      <w:r w:rsidR="004B4235">
        <w:rPr>
          <w:lang w:val="en-GB"/>
        </w:rPr>
        <w:t>indicators: the</w:t>
      </w:r>
      <w:r w:rsidR="007A2BB5">
        <w:t xml:space="preserve"> a</w:t>
      </w:r>
      <w:r w:rsidR="007A2BB5" w:rsidRPr="00743ECC">
        <w:t>verage Relative Error (</w:t>
      </w:r>
      <w:r w:rsidR="007A2BB5">
        <w:t>RE, e</w:t>
      </w:r>
      <w:r w:rsidR="00722FE1">
        <w:t>quation</w:t>
      </w:r>
      <w:r w:rsidR="007A2BB5">
        <w:t xml:space="preserve"> 1</w:t>
      </w:r>
      <w:r w:rsidR="00960A31">
        <w:t>1</w:t>
      </w:r>
      <w:r w:rsidR="007A2BB5" w:rsidRPr="00743ECC">
        <w:t xml:space="preserve">) and </w:t>
      </w:r>
      <w:r w:rsidR="004B4235">
        <w:t xml:space="preserve">the </w:t>
      </w:r>
      <w:r w:rsidR="007A2BB5" w:rsidRPr="00743ECC">
        <w:t>Average Absolute Error (</w:t>
      </w:r>
      <w:r w:rsidR="007A2BB5">
        <w:t>AE, equation 1</w:t>
      </w:r>
      <w:r w:rsidR="00960A31">
        <w:t>2</w:t>
      </w:r>
      <w:r w:rsidR="007A2BB5" w:rsidRPr="00743ECC">
        <w:t>)</w:t>
      </w:r>
      <w:r w:rsidR="007A2BB5">
        <w:t>. In these expressions, z indicates the generic variable</w:t>
      </w:r>
      <w:r w:rsidR="00722FE1">
        <w:t xml:space="preserve"> (either CO</w:t>
      </w:r>
      <w:r w:rsidR="00722FE1" w:rsidRPr="00722FE1">
        <w:rPr>
          <w:vertAlign w:val="subscript"/>
        </w:rPr>
        <w:t>2</w:t>
      </w:r>
      <w:r w:rsidR="00722FE1">
        <w:t xml:space="preserve"> or H</w:t>
      </w:r>
      <w:r w:rsidR="00722FE1" w:rsidRPr="00722FE1">
        <w:rPr>
          <w:vertAlign w:val="subscript"/>
        </w:rPr>
        <w:t>2</w:t>
      </w:r>
      <w:r w:rsidR="00722FE1">
        <w:t>O partial pressure)</w:t>
      </w:r>
      <w:r w:rsidR="007A2BB5">
        <w:t xml:space="preserve">, i the generic experimental point </w:t>
      </w:r>
      <w:r w:rsidR="00D47C09">
        <w:t>and</w:t>
      </w:r>
      <w:r w:rsidR="007A2BB5">
        <w:t xml:space="preserve"> n stands for the total number of measurements.</w:t>
      </w:r>
    </w:p>
    <w:p w14:paraId="63ED9750" w14:textId="77777777" w:rsidR="000553EC" w:rsidRPr="000553EC" w:rsidRDefault="000553EC" w:rsidP="007A2BB5">
      <w:pPr>
        <w:pStyle w:val="CETBodytext"/>
        <w:rPr>
          <w:lang w:val="en-GB"/>
        </w:rPr>
      </w:pPr>
    </w:p>
    <w:tbl>
      <w:tblPr>
        <w:tblW w:w="5000" w:type="pct"/>
        <w:tblLook w:val="04A0" w:firstRow="1" w:lastRow="0" w:firstColumn="1" w:lastColumn="0" w:noHBand="0" w:noVBand="1"/>
      </w:tblPr>
      <w:tblGrid>
        <w:gridCol w:w="7981"/>
        <w:gridCol w:w="806"/>
      </w:tblGrid>
      <w:tr w:rsidR="007A2BB5" w:rsidRPr="00B57B36" w14:paraId="7B14241A" w14:textId="77777777" w:rsidTr="00D648C2">
        <w:tc>
          <w:tcPr>
            <w:tcW w:w="7972" w:type="dxa"/>
            <w:shd w:val="clear" w:color="auto" w:fill="auto"/>
            <w:vAlign w:val="center"/>
          </w:tcPr>
          <w:p w14:paraId="3668AFE2" w14:textId="77777777" w:rsidR="007A2BB5" w:rsidRPr="00B57B36" w:rsidRDefault="007A2BB5" w:rsidP="0072730D">
            <w:pPr>
              <w:pStyle w:val="CETEquation"/>
              <w:spacing w:before="0" w:after="0" w:line="240" w:lineRule="auto"/>
            </w:pPr>
            <w:r w:rsidRPr="00A04AD5">
              <w:rPr>
                <w:position w:val="-34"/>
              </w:rPr>
              <w:object w:dxaOrig="2420" w:dyaOrig="800" w14:anchorId="260E8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40pt" o:ole="">
                  <v:imagedata r:id="rId12" o:title=""/>
                </v:shape>
                <o:OLEObject Type="Embed" ProgID="Equation.DSMT4" ShapeID="_x0000_i1025" DrawAspect="Content" ObjectID="_1739177569" r:id="rId13"/>
              </w:object>
            </w:r>
          </w:p>
        </w:tc>
        <w:tc>
          <w:tcPr>
            <w:tcW w:w="805" w:type="dxa"/>
            <w:shd w:val="clear" w:color="auto" w:fill="auto"/>
            <w:vAlign w:val="center"/>
          </w:tcPr>
          <w:p w14:paraId="69304000" w14:textId="7906D9F6" w:rsidR="007A2BB5" w:rsidRPr="00B57B36" w:rsidRDefault="007A2BB5" w:rsidP="0072730D">
            <w:pPr>
              <w:pStyle w:val="CETEquation"/>
              <w:spacing w:before="0" w:after="0" w:line="240" w:lineRule="auto"/>
              <w:jc w:val="right"/>
            </w:pPr>
            <w:r w:rsidRPr="00B57B36">
              <w:t>(</w:t>
            </w:r>
            <w:r>
              <w:t>1</w:t>
            </w:r>
            <w:r w:rsidR="00960A31">
              <w:t>1</w:t>
            </w:r>
            <w:r w:rsidRPr="00B57B36">
              <w:t>)</w:t>
            </w:r>
          </w:p>
        </w:tc>
      </w:tr>
      <w:tr w:rsidR="007A2BB5" w:rsidRPr="00B57B36" w14:paraId="15D08074" w14:textId="77777777" w:rsidTr="00D648C2">
        <w:tc>
          <w:tcPr>
            <w:tcW w:w="7972" w:type="dxa"/>
            <w:shd w:val="clear" w:color="auto" w:fill="auto"/>
            <w:vAlign w:val="center"/>
          </w:tcPr>
          <w:p w14:paraId="4EB9ED0F" w14:textId="77777777" w:rsidR="007A2BB5" w:rsidRDefault="007A2BB5" w:rsidP="0072730D">
            <w:pPr>
              <w:pStyle w:val="CETEquation"/>
              <w:spacing w:before="0" w:after="0" w:line="240" w:lineRule="auto"/>
            </w:pPr>
            <w:r w:rsidRPr="00A04AD5">
              <w:rPr>
                <w:position w:val="-30"/>
              </w:rPr>
              <w:object w:dxaOrig="2520" w:dyaOrig="800" w14:anchorId="159ACFA4">
                <v:shape id="_x0000_i1026" type="#_x0000_t75" style="width:126.5pt;height:40pt" o:ole="">
                  <v:imagedata r:id="rId14" o:title=""/>
                </v:shape>
                <o:OLEObject Type="Embed" ProgID="Equation.DSMT4" ShapeID="_x0000_i1026" DrawAspect="Content" ObjectID="_1739177570" r:id="rId15"/>
              </w:object>
            </w:r>
          </w:p>
        </w:tc>
        <w:tc>
          <w:tcPr>
            <w:tcW w:w="805" w:type="dxa"/>
            <w:shd w:val="clear" w:color="auto" w:fill="auto"/>
            <w:vAlign w:val="center"/>
          </w:tcPr>
          <w:p w14:paraId="4DC83CC7" w14:textId="5DDA25D6" w:rsidR="007A2BB5" w:rsidRPr="00B57B36" w:rsidRDefault="007A2BB5" w:rsidP="0072730D">
            <w:pPr>
              <w:pStyle w:val="CETEquation"/>
              <w:spacing w:before="0" w:after="0" w:line="240" w:lineRule="auto"/>
              <w:jc w:val="right"/>
            </w:pPr>
            <w:r>
              <w:t>(1</w:t>
            </w:r>
            <w:r w:rsidR="00960A31">
              <w:t>2</w:t>
            </w:r>
            <w:r>
              <w:t>)</w:t>
            </w:r>
          </w:p>
        </w:tc>
      </w:tr>
    </w:tbl>
    <w:p w14:paraId="22EF6EC8" w14:textId="77777777" w:rsidR="00B57AF8" w:rsidRDefault="00B57AF8" w:rsidP="007A2BB5">
      <w:pPr>
        <w:pStyle w:val="CETBodytext"/>
        <w:rPr>
          <w:lang w:val="en-GB"/>
        </w:rPr>
      </w:pPr>
    </w:p>
    <w:p w14:paraId="32AAF0F4" w14:textId="0864D75A" w:rsidR="00534FA3" w:rsidRDefault="00534FA3" w:rsidP="007A2BB5">
      <w:pPr>
        <w:pStyle w:val="CETBodytext"/>
        <w:rPr>
          <w:lang w:val="en-GB"/>
        </w:rPr>
      </w:pPr>
      <w:r>
        <w:rPr>
          <w:noProof/>
          <w:lang w:val="it-IT" w:eastAsia="it-IT"/>
        </w:rPr>
        <w:drawing>
          <wp:inline distT="0" distB="0" distL="0" distR="0" wp14:anchorId="1FA66014" wp14:editId="0FCD4669">
            <wp:extent cx="4065006" cy="2290838"/>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7510" cy="2534576"/>
                    </a:xfrm>
                    <a:prstGeom prst="rect">
                      <a:avLst/>
                    </a:prstGeom>
                    <a:noFill/>
                  </pic:spPr>
                </pic:pic>
              </a:graphicData>
            </a:graphic>
          </wp:inline>
        </w:drawing>
      </w:r>
    </w:p>
    <w:p w14:paraId="7C967C07" w14:textId="120D3BFC" w:rsidR="00534FA3" w:rsidRDefault="00534FA3" w:rsidP="00534FA3">
      <w:pPr>
        <w:pStyle w:val="CETCaption"/>
      </w:pPr>
      <w:r w:rsidRPr="00BD077D">
        <w:rPr>
          <w:rStyle w:val="CETCaptionCarattere"/>
          <w:i/>
        </w:rPr>
        <w:t xml:space="preserve">Figure 1: </w:t>
      </w:r>
      <w:r w:rsidRPr="00C64719">
        <w:t xml:space="preserve">ELECNRTL model predictions (solid lines) and the experimental data (dots) for the HS3 blend at different temperatures: </w:t>
      </w:r>
      <w:r w:rsidRPr="009574DE">
        <w:rPr>
          <w:b/>
          <w:bCs/>
          <w:color w:val="FF0000"/>
        </w:rPr>
        <w:t>40°C</w:t>
      </w:r>
      <w:r w:rsidRPr="00C64719">
        <w:t xml:space="preserve"> (red), </w:t>
      </w:r>
      <w:r w:rsidRPr="009574DE">
        <w:rPr>
          <w:b/>
          <w:bCs/>
          <w:color w:val="00B0F0"/>
        </w:rPr>
        <w:t>60°C</w:t>
      </w:r>
      <w:r w:rsidRPr="00C64719">
        <w:rPr>
          <w:color w:val="00B0F0"/>
        </w:rPr>
        <w:t xml:space="preserve"> </w:t>
      </w:r>
      <w:r w:rsidRPr="00C64719">
        <w:t xml:space="preserve">(light blue), </w:t>
      </w:r>
      <w:r w:rsidRPr="009574DE">
        <w:rPr>
          <w:b/>
          <w:bCs/>
          <w:color w:val="00B050"/>
        </w:rPr>
        <w:t>80°C</w:t>
      </w:r>
      <w:r w:rsidRPr="00C64719">
        <w:t xml:space="preserve"> (green), </w:t>
      </w:r>
      <w:r w:rsidRPr="009574DE">
        <w:rPr>
          <w:b/>
          <w:bCs/>
          <w:color w:val="FFC000"/>
        </w:rPr>
        <w:t>100°C</w:t>
      </w:r>
      <w:r w:rsidRPr="00C64719">
        <w:t xml:space="preserve"> (yellow), and </w:t>
      </w:r>
      <w:r w:rsidRPr="009574DE">
        <w:rPr>
          <w:b/>
          <w:bCs/>
          <w:color w:val="808080" w:themeColor="background1" w:themeShade="80"/>
        </w:rPr>
        <w:t>120°C</w:t>
      </w:r>
      <w:r w:rsidRPr="00C64719">
        <w:rPr>
          <w:color w:val="808080" w:themeColor="background1" w:themeShade="80"/>
        </w:rPr>
        <w:t xml:space="preserve"> </w:t>
      </w:r>
      <w:r w:rsidRPr="00C64719">
        <w:t>(grey).</w:t>
      </w:r>
    </w:p>
    <w:p w14:paraId="7ADC93AA" w14:textId="23E4B133" w:rsidR="007A2BB5" w:rsidRDefault="007A2BB5" w:rsidP="007A2BB5">
      <w:pPr>
        <w:pStyle w:val="CETBodytext"/>
        <w:rPr>
          <w:lang w:val="en-GB"/>
        </w:rPr>
      </w:pPr>
      <w:r>
        <w:rPr>
          <w:lang w:val="en-GB"/>
        </w:rPr>
        <w:t>The statistical test is performed on CO</w:t>
      </w:r>
      <w:r w:rsidRPr="00B944BC">
        <w:rPr>
          <w:vertAlign w:val="subscript"/>
          <w:lang w:val="en-GB"/>
        </w:rPr>
        <w:t>2</w:t>
      </w:r>
      <w:r>
        <w:rPr>
          <w:lang w:val="en-GB"/>
        </w:rPr>
        <w:t xml:space="preserve"> and H</w:t>
      </w:r>
      <w:r w:rsidRPr="00B944BC">
        <w:rPr>
          <w:vertAlign w:val="subscript"/>
          <w:lang w:val="en-GB"/>
        </w:rPr>
        <w:t>2</w:t>
      </w:r>
      <w:r>
        <w:rPr>
          <w:lang w:val="en-GB"/>
        </w:rPr>
        <w:t>O partial pressures</w:t>
      </w:r>
      <w:r w:rsidR="004B4235">
        <w:rPr>
          <w:lang w:val="en-GB"/>
        </w:rPr>
        <w:t xml:space="preserve"> since these a</w:t>
      </w:r>
      <w:r w:rsidR="00FA7483">
        <w:rPr>
          <w:lang w:val="en-GB"/>
        </w:rPr>
        <w:t>re</w:t>
      </w:r>
      <w:r w:rsidR="002B7DAD">
        <w:rPr>
          <w:lang w:val="en-GB"/>
        </w:rPr>
        <w:t xml:space="preserve"> the most abundant species in the gas phase (amines are present in traces)</w:t>
      </w:r>
      <w:r>
        <w:rPr>
          <w:lang w:val="en-GB"/>
        </w:rPr>
        <w:t>. All VLE experimental data collected</w:t>
      </w:r>
      <w:r w:rsidR="002B7DAD">
        <w:rPr>
          <w:lang w:val="en-GB"/>
        </w:rPr>
        <w:t xml:space="preserve"> for</w:t>
      </w:r>
      <w:r>
        <w:rPr>
          <w:lang w:val="en-GB"/>
        </w:rPr>
        <w:t xml:space="preserve"> the HS3 solvent </w:t>
      </w:r>
      <w:r w:rsidRPr="004C6105">
        <w:rPr>
          <w:lang w:val="en-GB"/>
        </w:rPr>
        <w:t>(Hartono et al.) have</w:t>
      </w:r>
      <w:r>
        <w:rPr>
          <w:lang w:val="en-GB"/>
        </w:rPr>
        <w:t xml:space="preserve"> been considered. </w:t>
      </w:r>
      <w:r w:rsidR="002B7DAD">
        <w:rPr>
          <w:lang w:val="en-GB"/>
        </w:rPr>
        <w:t>The relative</w:t>
      </w:r>
      <w:r>
        <w:rPr>
          <w:lang w:val="en-GB"/>
        </w:rPr>
        <w:t xml:space="preserve"> error</w:t>
      </w:r>
      <w:r w:rsidR="002B7DAD">
        <w:rPr>
          <w:lang w:val="en-GB"/>
        </w:rPr>
        <w:t>s</w:t>
      </w:r>
      <w:r>
        <w:rPr>
          <w:lang w:val="en-GB"/>
        </w:rPr>
        <w:t xml:space="preserve"> of 17.8 % and 17.0 % for CO</w:t>
      </w:r>
      <w:r w:rsidRPr="005B0B71">
        <w:rPr>
          <w:vertAlign w:val="subscript"/>
          <w:lang w:val="en-GB"/>
        </w:rPr>
        <w:t>2</w:t>
      </w:r>
      <w:r>
        <w:rPr>
          <w:lang w:val="en-GB"/>
        </w:rPr>
        <w:t xml:space="preserve"> and H</w:t>
      </w:r>
      <w:r w:rsidRPr="005B0B71">
        <w:rPr>
          <w:vertAlign w:val="subscript"/>
          <w:lang w:val="en-GB"/>
        </w:rPr>
        <w:t>2</w:t>
      </w:r>
      <w:r>
        <w:rPr>
          <w:lang w:val="en-GB"/>
        </w:rPr>
        <w:t xml:space="preserve">O </w:t>
      </w:r>
      <w:r w:rsidR="009E02C5">
        <w:rPr>
          <w:lang w:val="en-GB"/>
        </w:rPr>
        <w:t xml:space="preserve">are </w:t>
      </w:r>
      <w:r>
        <w:rPr>
          <w:lang w:val="en-GB"/>
        </w:rPr>
        <w:t>obtained, respectively. The mean absolute deviation is 0.07 kPa for both partial pressures.</w:t>
      </w:r>
    </w:p>
    <w:p w14:paraId="3062C4D9" w14:textId="77777777" w:rsidR="00541B01" w:rsidRDefault="00541B01" w:rsidP="007A2BB5">
      <w:pPr>
        <w:pStyle w:val="CETBodytext"/>
        <w:rPr>
          <w:lang w:val="en-GB"/>
        </w:rPr>
      </w:pPr>
    </w:p>
    <w:p w14:paraId="0A327364" w14:textId="77777777" w:rsidR="001A48C7" w:rsidRPr="0059236F" w:rsidRDefault="001A48C7" w:rsidP="000553EC">
      <w:pPr>
        <w:pStyle w:val="CETheadingx"/>
      </w:pPr>
      <w:r>
        <w:t>Heat of absorption</w:t>
      </w:r>
    </w:p>
    <w:p w14:paraId="4C817C20" w14:textId="6EF4598A" w:rsidR="001A48C7" w:rsidRDefault="001A48C7" w:rsidP="001A48C7">
      <w:pPr>
        <w:pStyle w:val="CETBodytext"/>
        <w:rPr>
          <w:bCs/>
          <w:color w:val="000000"/>
        </w:rPr>
      </w:pPr>
      <w:r>
        <w:rPr>
          <w:bCs/>
        </w:rPr>
        <w:t xml:space="preserve">The ELECNRTL model accuracy in predicting heat of absorption is estimated </w:t>
      </w:r>
      <w:r w:rsidR="002B7DAD">
        <w:rPr>
          <w:bCs/>
        </w:rPr>
        <w:t xml:space="preserve">by </w:t>
      </w:r>
      <w:r>
        <w:rPr>
          <w:bCs/>
        </w:rPr>
        <w:t xml:space="preserve">comparing the reaction heat trends with loading at different temperatures with respect to experimental observations </w:t>
      </w:r>
      <w:r w:rsidRPr="004C6105">
        <w:rPr>
          <w:bCs/>
        </w:rPr>
        <w:t>collected by Hartono et al.</w:t>
      </w:r>
      <w:r>
        <w:rPr>
          <w:bCs/>
        </w:rPr>
        <w:t xml:space="preserve"> (Figure 2). The highest accuracy is observed at 40°C, while an apparent underestimation of absorption heat </w:t>
      </w:r>
      <w:r>
        <w:rPr>
          <w:bCs/>
        </w:rPr>
        <w:lastRenderedPageBreak/>
        <w:t xml:space="preserve">occurs at high loadings at higher temperatures. However, such observation may be caused by inaccuracies in the adopted experimental apparatus. </w:t>
      </w:r>
      <w:r w:rsidR="002B7DAD">
        <w:rPr>
          <w:bCs/>
        </w:rPr>
        <w:t>Indeed</w:t>
      </w:r>
      <w:r>
        <w:rPr>
          <w:bCs/>
        </w:rPr>
        <w:t>, the monotonic profile shown by the Aspen model is more realistic and compatible with similar trends observed for other amine systems</w:t>
      </w:r>
      <w:r>
        <w:rPr>
          <w:bCs/>
          <w:color w:val="000000"/>
        </w:rPr>
        <w:t>. Indeed, the presence of a double peak at intermediate loadings may be explained by the formation of some precipitates (</w:t>
      </w:r>
      <w:r w:rsidRPr="00375D23">
        <w:rPr>
          <w:bCs/>
          <w:color w:val="000000"/>
        </w:rPr>
        <w:t>Kim and Svendsen, 2011</w:t>
      </w:r>
      <w:r>
        <w:rPr>
          <w:bCs/>
          <w:color w:val="000000"/>
        </w:rPr>
        <w:t xml:space="preserve">), which is not </w:t>
      </w:r>
      <w:r w:rsidR="002B7DAD">
        <w:rPr>
          <w:bCs/>
          <w:color w:val="000000"/>
        </w:rPr>
        <w:t>experienced</w:t>
      </w:r>
      <w:r>
        <w:rPr>
          <w:bCs/>
          <w:color w:val="000000"/>
        </w:rPr>
        <w:t xml:space="preserve"> for </w:t>
      </w:r>
      <w:r w:rsidR="002B7DAD">
        <w:rPr>
          <w:bCs/>
          <w:color w:val="000000"/>
        </w:rPr>
        <w:t xml:space="preserve">the </w:t>
      </w:r>
      <w:r>
        <w:rPr>
          <w:bCs/>
          <w:color w:val="000000"/>
        </w:rPr>
        <w:t>HS3.</w:t>
      </w:r>
    </w:p>
    <w:p w14:paraId="66133704" w14:textId="77777777" w:rsidR="001A48C7" w:rsidRPr="001A48C7" w:rsidRDefault="001A48C7" w:rsidP="007A2BB5">
      <w:pPr>
        <w:pStyle w:val="CETBodytext"/>
      </w:pPr>
    </w:p>
    <w:p w14:paraId="2D2F1167" w14:textId="4B909BB1" w:rsidR="0077745E" w:rsidRDefault="00A91BD8" w:rsidP="008A70EC">
      <w:pPr>
        <w:pStyle w:val="CETBodytext"/>
      </w:pPr>
      <w:r>
        <w:rPr>
          <w:noProof/>
          <w:lang w:val="it-IT" w:eastAsia="it-IT"/>
        </w:rPr>
        <w:drawing>
          <wp:inline distT="0" distB="0" distL="0" distR="0" wp14:anchorId="2014DAE4" wp14:editId="683EE80D">
            <wp:extent cx="3657600" cy="1100901"/>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58961" cy="1191608"/>
                    </a:xfrm>
                    <a:prstGeom prst="rect">
                      <a:avLst/>
                    </a:prstGeom>
                  </pic:spPr>
                </pic:pic>
              </a:graphicData>
            </a:graphic>
          </wp:inline>
        </w:drawing>
      </w:r>
      <w:r w:rsidRPr="00A91BD8">
        <w:rPr>
          <w:noProof/>
          <w:lang w:val="en-GB" w:eastAsia="it-IT"/>
        </w:rPr>
        <w:t xml:space="preserve"> </w:t>
      </w:r>
      <w:r>
        <w:rPr>
          <w:noProof/>
          <w:lang w:val="it-IT" w:eastAsia="it-IT"/>
        </w:rPr>
        <w:drawing>
          <wp:inline distT="0" distB="0" distL="0" distR="0" wp14:anchorId="05B1A7BA" wp14:editId="427CDBC8">
            <wp:extent cx="1812897" cy="1149642"/>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60551" cy="1179862"/>
                    </a:xfrm>
                    <a:prstGeom prst="rect">
                      <a:avLst/>
                    </a:prstGeom>
                  </pic:spPr>
                </pic:pic>
              </a:graphicData>
            </a:graphic>
          </wp:inline>
        </w:drawing>
      </w:r>
    </w:p>
    <w:p w14:paraId="5CB3BA49" w14:textId="3FA9C416" w:rsidR="002B7DAD" w:rsidRDefault="003541EC" w:rsidP="00B77E00">
      <w:pPr>
        <w:pStyle w:val="CETCaption"/>
      </w:pPr>
      <w:r w:rsidRPr="00BD077D">
        <w:rPr>
          <w:rStyle w:val="CETCaptionCarattere"/>
        </w:rPr>
        <w:t xml:space="preserve">Figure </w:t>
      </w:r>
      <w:r>
        <w:rPr>
          <w:rStyle w:val="CETCaptionCarattere"/>
        </w:rPr>
        <w:t>2</w:t>
      </w:r>
      <w:r w:rsidRPr="00BD077D">
        <w:rPr>
          <w:rStyle w:val="CETCaptionCarattere"/>
        </w:rPr>
        <w:t xml:space="preserve">: </w:t>
      </w:r>
      <w:r w:rsidRPr="003541EC">
        <w:t xml:space="preserve">Aspen ELECNRTL model predictions (solid lines) and the experimental data (dots) for the HS3 blend absorption heat at different temperatures: </w:t>
      </w:r>
      <w:r w:rsidRPr="00022220">
        <w:rPr>
          <w:b/>
          <w:bCs/>
          <w:color w:val="FF0000"/>
        </w:rPr>
        <w:t>40°C</w:t>
      </w:r>
      <w:r w:rsidRPr="003541EC">
        <w:t xml:space="preserve"> (A), </w:t>
      </w:r>
      <w:r w:rsidRPr="00022220">
        <w:rPr>
          <w:b/>
          <w:bCs/>
          <w:color w:val="00B0F0"/>
        </w:rPr>
        <w:t>60°C</w:t>
      </w:r>
      <w:r w:rsidRPr="003541EC">
        <w:rPr>
          <w:color w:val="00B0F0"/>
        </w:rPr>
        <w:t xml:space="preserve"> </w:t>
      </w:r>
      <w:r w:rsidR="00A91BD8">
        <w:t>(B) and</w:t>
      </w:r>
      <w:r w:rsidRPr="003541EC">
        <w:t xml:space="preserve"> </w:t>
      </w:r>
      <w:r w:rsidRPr="003B401E">
        <w:rPr>
          <w:b/>
          <w:bCs/>
          <w:color w:val="00B050"/>
        </w:rPr>
        <w:t>80°C</w:t>
      </w:r>
      <w:r w:rsidR="00A91BD8">
        <w:t xml:space="preserve"> (C)</w:t>
      </w:r>
      <w:r w:rsidR="00534FA3">
        <w:t xml:space="preserve"> data</w:t>
      </w:r>
      <w:r w:rsidR="00B77E00">
        <w:t xml:space="preserve"> from</w:t>
      </w:r>
      <w:r w:rsidRPr="003541EC">
        <w:t xml:space="preserve"> Hartono (Hartono et al.)</w:t>
      </w:r>
    </w:p>
    <w:p w14:paraId="60CA50AA" w14:textId="23B5AFC4" w:rsidR="007A2BB5" w:rsidRPr="0059236F" w:rsidRDefault="007A2BB5" w:rsidP="000553EC">
      <w:pPr>
        <w:pStyle w:val="CETheadingx"/>
      </w:pPr>
      <w:r>
        <w:t>Speciation in the liquid phase</w:t>
      </w:r>
    </w:p>
    <w:p w14:paraId="3F6250DE" w14:textId="1C8953D5" w:rsidR="00F05288" w:rsidRPr="00AA7F28" w:rsidRDefault="007A2BB5" w:rsidP="00AA7F28">
      <w:pPr>
        <w:pStyle w:val="CETHeadingxx"/>
        <w:spacing w:line="264" w:lineRule="auto"/>
        <w:rPr>
          <w:b w:val="0"/>
          <w:bCs/>
        </w:rPr>
      </w:pPr>
      <w:r w:rsidRPr="00AA7F28">
        <w:rPr>
          <w:b w:val="0"/>
          <w:bCs/>
        </w:rPr>
        <w:t xml:space="preserve">The </w:t>
      </w:r>
      <w:r w:rsidR="006047A4" w:rsidRPr="00AA7F28">
        <w:rPr>
          <w:b w:val="0"/>
          <w:bCs/>
        </w:rPr>
        <w:t>system speciation in the liquid phase as predicted by the ELECNRTL Aspen model is reported in Figure 3 at 40°C and 120°C, the typical operating temperatures of absorption and solvent regeneration, respectively.</w:t>
      </w:r>
      <w:r w:rsidR="002155CE" w:rsidRPr="00AA7F28">
        <w:rPr>
          <w:b w:val="0"/>
          <w:bCs/>
        </w:rPr>
        <w:t xml:space="preserve"> </w:t>
      </w:r>
    </w:p>
    <w:p w14:paraId="1863F1AB" w14:textId="5179510F" w:rsidR="009A3B0F" w:rsidRDefault="009A3B0F" w:rsidP="000553EC">
      <w:pPr>
        <w:pStyle w:val="CETHeadingxx"/>
      </w:pPr>
      <w:r>
        <w:rPr>
          <w:noProof/>
          <w:lang w:eastAsia="it-IT"/>
        </w:rPr>
        <w:drawing>
          <wp:inline distT="0" distB="0" distL="0" distR="0" wp14:anchorId="1E2BDF1F" wp14:editId="7AAEA204">
            <wp:extent cx="5535637" cy="1617625"/>
            <wp:effectExtent l="0" t="0" r="825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74731" cy="1658271"/>
                    </a:xfrm>
                    <a:prstGeom prst="rect">
                      <a:avLst/>
                    </a:prstGeom>
                  </pic:spPr>
                </pic:pic>
              </a:graphicData>
            </a:graphic>
          </wp:inline>
        </w:drawing>
      </w:r>
    </w:p>
    <w:p w14:paraId="0384F5A9" w14:textId="3A0AD8FD" w:rsidR="00512F26" w:rsidRPr="00B77E00" w:rsidRDefault="009A3B0F" w:rsidP="00B77E00">
      <w:pPr>
        <w:pStyle w:val="CETCaption"/>
        <w:rPr>
          <w:b/>
        </w:rPr>
      </w:pPr>
      <w:r w:rsidRPr="004479F2">
        <w:rPr>
          <w:rStyle w:val="CETCaptionCarattere"/>
        </w:rPr>
        <w:t>Figure 3</w:t>
      </w:r>
      <w:r w:rsidRPr="009A3B0F">
        <w:rPr>
          <w:rStyle w:val="CETCaptionCarattere"/>
        </w:rPr>
        <w:t xml:space="preserve">: </w:t>
      </w:r>
      <w:r w:rsidRPr="00512F26">
        <w:t xml:space="preserve">Speciation plot </w:t>
      </w:r>
      <w:r w:rsidR="00B77E00">
        <w:t>of</w:t>
      </w:r>
      <w:r w:rsidRPr="00512F26">
        <w:t xml:space="preserve"> the liquid phase predicted by the Aspen Plus </w:t>
      </w:r>
      <w:r w:rsidR="00242D61" w:rsidRPr="00512F26">
        <w:t>model developed in this work</w:t>
      </w:r>
      <w:r w:rsidR="00B96B02">
        <w:t xml:space="preserve"> at (</w:t>
      </w:r>
      <w:r w:rsidR="00242D61" w:rsidRPr="00512F26">
        <w:t xml:space="preserve">A) 40 °C and </w:t>
      </w:r>
      <w:r w:rsidR="00B96B02">
        <w:t>(</w:t>
      </w:r>
      <w:r w:rsidR="00242D61" w:rsidRPr="00512F26">
        <w:t>B) 120 °C.</w:t>
      </w:r>
      <w:r w:rsidR="00B96B02" w:rsidRPr="00B96B02">
        <w:rPr>
          <w:rFonts w:ascii="Calibri,Bold" w:eastAsiaTheme="minorHAnsi" w:hAnsi="Calibri,Bold" w:cs="Calibri,Bold"/>
          <w:b/>
          <w:bCs/>
          <w:color w:val="A7A7A7"/>
          <w:szCs w:val="18"/>
        </w:rPr>
        <w:t xml:space="preserve"> </w:t>
      </w:r>
      <w:r w:rsidR="00B96B02" w:rsidRPr="004479F2">
        <w:rPr>
          <w:rFonts w:eastAsiaTheme="minorHAnsi" w:cs="Arial"/>
          <w:b/>
          <w:bCs/>
          <w:color w:val="A7A7A7"/>
          <w:szCs w:val="18"/>
        </w:rPr>
        <w:t>AP</w:t>
      </w:r>
      <w:r w:rsidR="00B96B02" w:rsidRPr="004479F2">
        <w:rPr>
          <w:rFonts w:eastAsiaTheme="minorHAnsi" w:cs="Arial"/>
          <w:color w:val="A7A7A7"/>
          <w:szCs w:val="18"/>
        </w:rPr>
        <w:t xml:space="preserve"> </w:t>
      </w:r>
      <w:r w:rsidR="00B96B02" w:rsidRPr="004479F2">
        <w:rPr>
          <w:rFonts w:eastAsiaTheme="minorHAnsi" w:cs="Arial"/>
          <w:color w:val="000000"/>
          <w:szCs w:val="18"/>
        </w:rPr>
        <w:t xml:space="preserve">(grey), </w:t>
      </w:r>
      <w:r w:rsidR="00B96B02" w:rsidRPr="004479F2">
        <w:rPr>
          <w:rFonts w:eastAsiaTheme="minorHAnsi" w:cs="Arial"/>
          <w:b/>
          <w:bCs/>
          <w:color w:val="000000"/>
          <w:szCs w:val="18"/>
        </w:rPr>
        <w:t>PRLD</w:t>
      </w:r>
      <w:r w:rsidR="00B96B02" w:rsidRPr="004479F2">
        <w:rPr>
          <w:rFonts w:eastAsiaTheme="minorHAnsi" w:cs="Arial"/>
          <w:color w:val="000000"/>
          <w:szCs w:val="18"/>
        </w:rPr>
        <w:t xml:space="preserve"> (black), </w:t>
      </w:r>
      <w:r w:rsidR="00B96B02" w:rsidRPr="004479F2">
        <w:rPr>
          <w:rFonts w:eastAsiaTheme="minorHAnsi" w:cs="Arial"/>
          <w:b/>
          <w:bCs/>
          <w:color w:val="FF0000"/>
          <w:szCs w:val="18"/>
        </w:rPr>
        <w:t>APH</w:t>
      </w:r>
      <w:r w:rsidR="00B96B02" w:rsidRPr="004479F2">
        <w:rPr>
          <w:rFonts w:eastAsiaTheme="minorHAnsi" w:cs="Arial"/>
          <w:b/>
          <w:bCs/>
          <w:color w:val="FF0000"/>
          <w:szCs w:val="18"/>
          <w:vertAlign w:val="superscript"/>
        </w:rPr>
        <w:t>+</w:t>
      </w:r>
      <w:r w:rsidR="00B96B02" w:rsidRPr="004479F2">
        <w:rPr>
          <w:rFonts w:eastAsiaTheme="minorHAnsi" w:cs="Arial"/>
          <w:color w:val="FF0000"/>
          <w:szCs w:val="18"/>
        </w:rPr>
        <w:t xml:space="preserve"> </w:t>
      </w:r>
      <w:r w:rsidR="00B96B02" w:rsidRPr="004479F2">
        <w:rPr>
          <w:rFonts w:eastAsiaTheme="minorHAnsi" w:cs="Arial"/>
          <w:color w:val="000000"/>
          <w:szCs w:val="18"/>
        </w:rPr>
        <w:t xml:space="preserve">(red), </w:t>
      </w:r>
      <w:r w:rsidR="00B96B02" w:rsidRPr="004479F2">
        <w:rPr>
          <w:rFonts w:eastAsiaTheme="minorHAnsi" w:cs="Arial"/>
          <w:b/>
          <w:bCs/>
          <w:color w:val="00B1F1"/>
          <w:szCs w:val="18"/>
        </w:rPr>
        <w:t>APCOO</w:t>
      </w:r>
      <w:r w:rsidR="00B96B02" w:rsidRPr="004479F2">
        <w:rPr>
          <w:rFonts w:eastAsiaTheme="minorHAnsi" w:cs="Arial"/>
          <w:b/>
          <w:bCs/>
          <w:color w:val="00B1F1"/>
          <w:szCs w:val="18"/>
          <w:vertAlign w:val="superscript"/>
        </w:rPr>
        <w:t>-</w:t>
      </w:r>
      <w:r w:rsidR="00B96B02" w:rsidRPr="004479F2">
        <w:rPr>
          <w:rFonts w:eastAsiaTheme="minorHAnsi" w:cs="Arial"/>
          <w:color w:val="00B1F1"/>
          <w:szCs w:val="18"/>
        </w:rPr>
        <w:t xml:space="preserve"> </w:t>
      </w:r>
      <w:r w:rsidR="00B96B02" w:rsidRPr="004479F2">
        <w:rPr>
          <w:rFonts w:eastAsiaTheme="minorHAnsi" w:cs="Arial"/>
          <w:color w:val="000000"/>
          <w:szCs w:val="18"/>
        </w:rPr>
        <w:t xml:space="preserve">(light blue), </w:t>
      </w:r>
      <w:r w:rsidR="00B96B02" w:rsidRPr="004479F2">
        <w:rPr>
          <w:rFonts w:eastAsiaTheme="minorHAnsi" w:cs="Arial"/>
          <w:b/>
          <w:bCs/>
          <w:color w:val="00B150"/>
          <w:szCs w:val="18"/>
        </w:rPr>
        <w:t>PRLDH</w:t>
      </w:r>
      <w:r w:rsidR="00B96B02" w:rsidRPr="004479F2">
        <w:rPr>
          <w:rFonts w:eastAsiaTheme="minorHAnsi" w:cs="Arial"/>
          <w:b/>
          <w:bCs/>
          <w:color w:val="00B150"/>
          <w:szCs w:val="18"/>
          <w:vertAlign w:val="superscript"/>
        </w:rPr>
        <w:t>+</w:t>
      </w:r>
      <w:r w:rsidR="00B96B02" w:rsidRPr="004479F2">
        <w:rPr>
          <w:rFonts w:eastAsiaTheme="minorHAnsi" w:cs="Arial"/>
          <w:color w:val="00B150"/>
          <w:szCs w:val="18"/>
        </w:rPr>
        <w:t xml:space="preserve"> </w:t>
      </w:r>
      <w:r w:rsidR="00B96B02" w:rsidRPr="004479F2">
        <w:rPr>
          <w:rFonts w:eastAsiaTheme="minorHAnsi" w:cs="Arial"/>
          <w:color w:val="000000"/>
          <w:szCs w:val="18"/>
        </w:rPr>
        <w:t xml:space="preserve">(green) and </w:t>
      </w:r>
      <w:r w:rsidR="00B96B02" w:rsidRPr="004479F2">
        <w:rPr>
          <w:rFonts w:eastAsiaTheme="minorHAnsi" w:cs="Arial"/>
          <w:b/>
          <w:bCs/>
          <w:color w:val="FFC100"/>
          <w:szCs w:val="18"/>
        </w:rPr>
        <w:t>HCO3</w:t>
      </w:r>
      <w:r w:rsidR="00B96B02" w:rsidRPr="004479F2">
        <w:rPr>
          <w:rFonts w:eastAsiaTheme="minorHAnsi" w:cs="Arial"/>
          <w:b/>
          <w:bCs/>
          <w:color w:val="FFC100"/>
          <w:szCs w:val="18"/>
          <w:vertAlign w:val="superscript"/>
        </w:rPr>
        <w:t>-</w:t>
      </w:r>
      <w:r w:rsidR="00B96B02" w:rsidRPr="004479F2">
        <w:rPr>
          <w:rFonts w:eastAsiaTheme="minorHAnsi" w:cs="Arial"/>
          <w:color w:val="FFC100"/>
          <w:szCs w:val="18"/>
        </w:rPr>
        <w:t xml:space="preserve"> </w:t>
      </w:r>
      <w:r w:rsidR="00B96B02" w:rsidRPr="004479F2">
        <w:rPr>
          <w:rFonts w:eastAsiaTheme="minorHAnsi" w:cs="Arial"/>
          <w:color w:val="000000"/>
          <w:szCs w:val="18"/>
        </w:rPr>
        <w:t>(yellow).</w:t>
      </w:r>
    </w:p>
    <w:p w14:paraId="535198D0" w14:textId="69B091F7" w:rsidR="00B71FE9" w:rsidRPr="004479F2" w:rsidRDefault="00B71FE9" w:rsidP="00AA7F28">
      <w:pPr>
        <w:pStyle w:val="CETHeadingxx"/>
        <w:spacing w:line="264" w:lineRule="auto"/>
        <w:rPr>
          <w:b w:val="0"/>
          <w:bCs/>
        </w:rPr>
      </w:pPr>
      <w:r w:rsidRPr="004479F2">
        <w:rPr>
          <w:b w:val="0"/>
          <w:bCs/>
        </w:rPr>
        <w:t>As expected, AP (primary amine) is more reactive than PLRD at low loadings (&lt;</w:t>
      </w:r>
      <w:r w:rsidR="00411567" w:rsidRPr="004479F2">
        <w:rPr>
          <w:b w:val="0"/>
          <w:bCs/>
        </w:rPr>
        <w:t xml:space="preserve"> </w:t>
      </w:r>
      <w:r w:rsidRPr="004479F2">
        <w:rPr>
          <w:b w:val="0"/>
          <w:bCs/>
        </w:rPr>
        <w:t>0.2), which explains its faster consumption. As PRLD reacts with CO</w:t>
      </w:r>
      <w:r w:rsidRPr="004479F2">
        <w:rPr>
          <w:b w:val="0"/>
          <w:bCs/>
          <w:vertAlign w:val="subscript"/>
        </w:rPr>
        <w:t>2</w:t>
      </w:r>
      <w:r w:rsidRPr="004479F2">
        <w:rPr>
          <w:b w:val="0"/>
          <w:bCs/>
        </w:rPr>
        <w:t>, PRLDH</w:t>
      </w:r>
      <w:r w:rsidRPr="004479F2">
        <w:rPr>
          <w:b w:val="0"/>
          <w:bCs/>
          <w:vertAlign w:val="superscript"/>
        </w:rPr>
        <w:t>+</w:t>
      </w:r>
      <w:r w:rsidR="00DD0F71" w:rsidRPr="004479F2">
        <w:rPr>
          <w:b w:val="0"/>
          <w:bCs/>
        </w:rPr>
        <w:t>, a</w:t>
      </w:r>
      <w:r w:rsidRPr="004479F2">
        <w:rPr>
          <w:b w:val="0"/>
          <w:bCs/>
        </w:rPr>
        <w:t>nd HCO</w:t>
      </w:r>
      <w:r w:rsidRPr="004479F2">
        <w:rPr>
          <w:b w:val="0"/>
          <w:bCs/>
          <w:vertAlign w:val="subscript"/>
        </w:rPr>
        <w:t>3</w:t>
      </w:r>
      <w:r w:rsidRPr="004479F2">
        <w:rPr>
          <w:b w:val="0"/>
          <w:bCs/>
          <w:vertAlign w:val="superscript"/>
        </w:rPr>
        <w:t>-</w:t>
      </w:r>
      <w:r w:rsidRPr="004479F2">
        <w:rPr>
          <w:b w:val="0"/>
          <w:bCs/>
        </w:rPr>
        <w:t xml:space="preserve"> are formed, while AP turns into both APH</w:t>
      </w:r>
      <w:r w:rsidRPr="004479F2">
        <w:rPr>
          <w:b w:val="0"/>
          <w:bCs/>
          <w:vertAlign w:val="superscript"/>
        </w:rPr>
        <w:t>+</w:t>
      </w:r>
      <w:r w:rsidRPr="004479F2">
        <w:rPr>
          <w:b w:val="0"/>
          <w:bCs/>
        </w:rPr>
        <w:t xml:space="preserve"> and APCOO</w:t>
      </w:r>
      <w:r w:rsidRPr="004479F2">
        <w:rPr>
          <w:b w:val="0"/>
          <w:bCs/>
          <w:vertAlign w:val="superscript"/>
        </w:rPr>
        <w:t>-</w:t>
      </w:r>
      <w:r w:rsidRPr="004479F2">
        <w:rPr>
          <w:b w:val="0"/>
          <w:bCs/>
        </w:rPr>
        <w:t xml:space="preserve">. Differently from common primary amines such as MEA, which tends to easily form carbamate rather than being protonated, for the HS3 blend amine protonation seems to be </w:t>
      </w:r>
      <w:r w:rsidR="00B96B02" w:rsidRPr="004479F2">
        <w:rPr>
          <w:b w:val="0"/>
          <w:bCs/>
        </w:rPr>
        <w:t>favored</w:t>
      </w:r>
      <w:r w:rsidRPr="004479F2">
        <w:rPr>
          <w:b w:val="0"/>
          <w:bCs/>
        </w:rPr>
        <w:t xml:space="preserve">, thus limiting carbamate formation. Despite the lack of experimental data for the sake of comparison, this speciation plot is fully consistent with the absorption heat data in Figure 2. In fact, a progressive constant decrease of absorption heat as a function of loading is typical of tertiary amines and in general of systems where the bicarbonate path is </w:t>
      </w:r>
      <w:r w:rsidR="00B96B02" w:rsidRPr="004479F2">
        <w:rPr>
          <w:b w:val="0"/>
          <w:bCs/>
        </w:rPr>
        <w:t>favored</w:t>
      </w:r>
      <w:r w:rsidRPr="004479F2">
        <w:rPr>
          <w:b w:val="0"/>
          <w:bCs/>
        </w:rPr>
        <w:t xml:space="preserve">, whereas carbamate forming systems are characterized by a flat absorption heat profile at loadings </w:t>
      </w:r>
      <w:r w:rsidR="00543B1B" w:rsidRPr="004479F2">
        <w:rPr>
          <w:b w:val="0"/>
          <w:bCs/>
        </w:rPr>
        <w:t xml:space="preserve">&lt; </w:t>
      </w:r>
      <w:r w:rsidRPr="004479F2">
        <w:rPr>
          <w:b w:val="0"/>
          <w:bCs/>
        </w:rPr>
        <w:t>0.4.</w:t>
      </w:r>
    </w:p>
    <w:p w14:paraId="68D26B83" w14:textId="71FA23CF" w:rsidR="00600535" w:rsidRPr="00B57B36" w:rsidRDefault="003541EC" w:rsidP="00600535">
      <w:pPr>
        <w:pStyle w:val="CETHeading1"/>
        <w:rPr>
          <w:lang w:val="en-GB"/>
        </w:rPr>
      </w:pPr>
      <w:r>
        <w:rPr>
          <w:lang w:val="en-GB"/>
        </w:rPr>
        <w:t>Conclusions</w:t>
      </w:r>
    </w:p>
    <w:p w14:paraId="52DAFDE0" w14:textId="6704DB75" w:rsidR="001D0CFB" w:rsidRDefault="005008C1" w:rsidP="00600535">
      <w:pPr>
        <w:pStyle w:val="CETBodytext"/>
        <w:rPr>
          <w:lang w:val="en-GB"/>
        </w:rPr>
      </w:pPr>
      <w:r>
        <w:rPr>
          <w:lang w:val="en-GB"/>
        </w:rPr>
        <w:t>A</w:t>
      </w:r>
      <w:r w:rsidR="00BC1BDB">
        <w:rPr>
          <w:lang w:val="en-GB"/>
        </w:rPr>
        <w:t>n ELECNRTL</w:t>
      </w:r>
      <w:r>
        <w:rPr>
          <w:lang w:val="en-GB"/>
        </w:rPr>
        <w:t xml:space="preserve"> VLE model for the characterization of the innovative amine blend HS3 in Aspen Plus has been developed exploiting both experimental data collected within the European Realise project and other literature sources. </w:t>
      </w:r>
      <w:r w:rsidR="00BC1BDB">
        <w:rPr>
          <w:lang w:val="en-GB"/>
        </w:rPr>
        <w:t xml:space="preserve">Only the 34 molecule-ion interactions having a stronger influence on the system equilibrium have been included, with a beneficial effect on the model smoothness and stability. </w:t>
      </w:r>
      <w:r>
        <w:rPr>
          <w:lang w:val="en-GB"/>
        </w:rPr>
        <w:t xml:space="preserve">The obtained model reproduces accurately the available VLE data in the entire temperature (40 °C – 120 °C) and loading (0.05 – 0.5) ranges of </w:t>
      </w:r>
      <w:r w:rsidR="00BC1BDB">
        <w:rPr>
          <w:lang w:val="en-GB"/>
        </w:rPr>
        <w:t xml:space="preserve">practical </w:t>
      </w:r>
      <w:r>
        <w:rPr>
          <w:lang w:val="en-GB"/>
        </w:rPr>
        <w:t>interest for applications in CO</w:t>
      </w:r>
      <w:r w:rsidRPr="005008C1">
        <w:rPr>
          <w:vertAlign w:val="subscript"/>
          <w:lang w:val="en-GB"/>
        </w:rPr>
        <w:t>2</w:t>
      </w:r>
      <w:r>
        <w:rPr>
          <w:lang w:val="en-GB"/>
        </w:rPr>
        <w:t xml:space="preserve"> capture. The average relative </w:t>
      </w:r>
      <w:r w:rsidR="00A75EA0">
        <w:rPr>
          <w:lang w:val="en-GB"/>
        </w:rPr>
        <w:t>deviation</w:t>
      </w:r>
      <w:r>
        <w:rPr>
          <w:lang w:val="en-GB"/>
        </w:rPr>
        <w:t xml:space="preserve"> between the experimental and the predicted CO</w:t>
      </w:r>
      <w:r w:rsidRPr="00BC1BDB">
        <w:rPr>
          <w:vertAlign w:val="subscript"/>
          <w:lang w:val="en-GB"/>
        </w:rPr>
        <w:t>2</w:t>
      </w:r>
      <w:r>
        <w:rPr>
          <w:lang w:val="en-GB"/>
        </w:rPr>
        <w:t xml:space="preserve"> partial pressure is close to 17%. Moreover, </w:t>
      </w:r>
      <w:r w:rsidR="00BC1BDB">
        <w:rPr>
          <w:lang w:val="en-GB"/>
        </w:rPr>
        <w:t>an accurate estimation of absorption heat is obtained, which makes the model reliable in predicting the energy requirements of an HS3-based CO</w:t>
      </w:r>
      <w:r w:rsidR="00BC1BDB" w:rsidRPr="00BC1BDB">
        <w:rPr>
          <w:vertAlign w:val="subscript"/>
          <w:lang w:val="en-GB"/>
        </w:rPr>
        <w:t>2</w:t>
      </w:r>
      <w:r w:rsidR="00BC1BDB">
        <w:rPr>
          <w:lang w:val="en-GB"/>
        </w:rPr>
        <w:t xml:space="preserve"> capture process. The proposed ELECNRL model provides a good description of the reacting system at equilibrium, </w:t>
      </w:r>
      <w:r w:rsidR="00BC1BDB">
        <w:rPr>
          <w:lang w:val="en-GB"/>
        </w:rPr>
        <w:lastRenderedPageBreak/>
        <w:t xml:space="preserve">providing also details on the real composition in the liquid phase </w:t>
      </w:r>
      <w:r w:rsidR="00A25547">
        <w:rPr>
          <w:lang w:val="en-GB"/>
        </w:rPr>
        <w:t>(</w:t>
      </w:r>
      <w:r w:rsidR="00BC1BDB">
        <w:rPr>
          <w:lang w:val="en-GB"/>
        </w:rPr>
        <w:t>including ions</w:t>
      </w:r>
      <w:r w:rsidR="00A25547">
        <w:rPr>
          <w:lang w:val="en-GB"/>
        </w:rPr>
        <w:t>), and it may be extended in future studies to deal with AP-PRLD blends at different total and relative concentrations with respect to HS3</w:t>
      </w:r>
      <w:r w:rsidR="00BC1BDB">
        <w:rPr>
          <w:lang w:val="en-GB"/>
        </w:rPr>
        <w:t xml:space="preserve">. </w:t>
      </w:r>
    </w:p>
    <w:p w14:paraId="1B118209" w14:textId="77777777" w:rsidR="008D216B" w:rsidRDefault="008D216B" w:rsidP="00600535">
      <w:pPr>
        <w:pStyle w:val="CETBodytext"/>
        <w:rPr>
          <w:lang w:val="en-GB"/>
        </w:rPr>
      </w:pPr>
    </w:p>
    <w:p w14:paraId="459D05E6" w14:textId="77777777" w:rsidR="00600535" w:rsidRPr="00B57B36" w:rsidRDefault="00600535" w:rsidP="00600535">
      <w:pPr>
        <w:pStyle w:val="CETAcknowledgementstitle"/>
      </w:pPr>
      <w:r w:rsidRPr="00B57B36">
        <w:t>Acknowledgments</w:t>
      </w:r>
    </w:p>
    <w:p w14:paraId="383EED08" w14:textId="21253373" w:rsidR="00951E2D" w:rsidRDefault="00951E2D" w:rsidP="00951E2D">
      <w:pPr>
        <w:pStyle w:val="CETReference"/>
        <w:jc w:val="both"/>
        <w:rPr>
          <w:rStyle w:val="Hyperlink"/>
          <w:b w:val="0"/>
        </w:rPr>
      </w:pPr>
      <w:r w:rsidRPr="004479F2">
        <w:rPr>
          <w:b w:val="0"/>
        </w:rPr>
        <w:t xml:space="preserve">This work was performed within REALISE project. The project has received funding from the European Union's Horizon 2020 research and innovation program under grant agreement No 884266 (REALISE project). For more </w:t>
      </w:r>
      <w:r w:rsidRPr="00951E2D">
        <w:rPr>
          <w:b w:val="0"/>
        </w:rPr>
        <w:t xml:space="preserve">information refers to the project webpage - </w:t>
      </w:r>
      <w:hyperlink r:id="rId20" w:history="1">
        <w:r w:rsidRPr="00951E2D">
          <w:rPr>
            <w:rStyle w:val="Hyperlink"/>
            <w:b w:val="0"/>
          </w:rPr>
          <w:t>Home | REALISE-CCUS (realiseccus.eu)</w:t>
        </w:r>
      </w:hyperlink>
    </w:p>
    <w:p w14:paraId="4F1327F8" w14:textId="1D4E82CA" w:rsidR="00600535" w:rsidRPr="00B57B36" w:rsidRDefault="00600535" w:rsidP="00951E2D">
      <w:pPr>
        <w:pStyle w:val="CETReference"/>
        <w:jc w:val="both"/>
      </w:pPr>
      <w:r w:rsidRPr="00B57B36">
        <w:t>References</w:t>
      </w:r>
    </w:p>
    <w:p w14:paraId="5AD574DC" w14:textId="3D112007" w:rsidR="006A0A87" w:rsidRPr="000112B2" w:rsidRDefault="006A0A87" w:rsidP="006B4888">
      <w:pPr>
        <w:pStyle w:val="CETReferencetext"/>
      </w:pPr>
      <w:r w:rsidRPr="000112B2">
        <w:t>Aspen Plus®, 2019. Aspen Plus® V11.0 Documentation.</w:t>
      </w:r>
    </w:p>
    <w:p w14:paraId="55068D93" w14:textId="2B3388B0" w:rsidR="00EC10DB" w:rsidRPr="004479F2" w:rsidRDefault="00EC10DB" w:rsidP="006B4888">
      <w:pPr>
        <w:pStyle w:val="CETReferencetext"/>
        <w:rPr>
          <w:lang w:val="it-IT"/>
        </w:rPr>
      </w:pPr>
      <w:r w:rsidRPr="004479F2">
        <w:t xml:space="preserve">Bernhardsen, I.M., Trollebø, A.A., Perinu, C., Knuutila, H.K., 2019. Vapor-liquid equilibrium study of tertiary amines, single and in blend with 3-(methylamino)propylamine, for post-combustion CO2 capture. </w:t>
      </w:r>
      <w:r w:rsidRPr="004479F2">
        <w:rPr>
          <w:lang w:val="it-IT"/>
        </w:rPr>
        <w:t>Journal of Chemical Thermodynamics 138, 211–228.</w:t>
      </w:r>
    </w:p>
    <w:p w14:paraId="037A6203" w14:textId="3C447409" w:rsidR="000467D9" w:rsidRPr="004479F2" w:rsidRDefault="000467D9" w:rsidP="006B4888">
      <w:pPr>
        <w:pStyle w:val="CETReferencetext"/>
      </w:pPr>
      <w:r w:rsidRPr="004479F2">
        <w:rPr>
          <w:lang w:val="it-IT"/>
        </w:rPr>
        <w:t xml:space="preserve">Bisotti, F., Fedeli, M., Prifti, K., Galeazzi, A., Dell’Angelo, A., Manenti, F., 2022. </w:t>
      </w:r>
      <w:r w:rsidRPr="004479F2">
        <w:t xml:space="preserve">Impact of Kinetic Models on Methanol Synthesis Reactor Predictions: In Silico Assessment and Comparison with Industrial Data. Ind Eng Chem Res 61, 2206–2226. </w:t>
      </w:r>
    </w:p>
    <w:p w14:paraId="497BA558" w14:textId="69E12BF5" w:rsidR="00EC10DB" w:rsidRPr="004479F2" w:rsidRDefault="00EC10DB" w:rsidP="006B4888">
      <w:pPr>
        <w:pStyle w:val="CETReferencetext"/>
      </w:pPr>
      <w:r w:rsidRPr="004479F2">
        <w:t>Bunevska, T., 2021. Characterization of a solvent for chemical absorption-based CO2 capture.</w:t>
      </w:r>
    </w:p>
    <w:p w14:paraId="7E605215" w14:textId="36265833" w:rsidR="00EC10DB" w:rsidRPr="004479F2" w:rsidRDefault="00EC10DB" w:rsidP="006B4888">
      <w:pPr>
        <w:pStyle w:val="CETReferencetext"/>
      </w:pPr>
      <w:r w:rsidRPr="004479F2">
        <w:t xml:space="preserve">Constantinou, L., Gani, R., </w:t>
      </w:r>
      <w:r w:rsidR="00CF28A6" w:rsidRPr="004479F2">
        <w:t>1997.</w:t>
      </w:r>
      <w:r w:rsidRPr="004479F2">
        <w:t xml:space="preserve"> New Group Contribution Method for Estimating Properties of Pure Compounds.</w:t>
      </w:r>
    </w:p>
    <w:p w14:paraId="0F0E5D08" w14:textId="70EFD828" w:rsidR="00EC10DB" w:rsidRPr="004479F2" w:rsidRDefault="00EC10DB" w:rsidP="006B4888">
      <w:pPr>
        <w:pStyle w:val="CETReferencetext"/>
      </w:pPr>
      <w:r w:rsidRPr="004479F2">
        <w:t xml:space="preserve">Dong, L., Chen, J., Gao, G., 2010. Solubility of carbon dioxide in aqueous solutions of 3-amino-1-propanol, in: Journal of Chemical and Engineering Data. pp. 1030–1034. </w:t>
      </w:r>
    </w:p>
    <w:p w14:paraId="4E53FC74" w14:textId="7A17E3B0" w:rsidR="002122F2" w:rsidRPr="004479F2" w:rsidRDefault="002122F2" w:rsidP="006B4888">
      <w:pPr>
        <w:pStyle w:val="CETReferencetext"/>
      </w:pPr>
      <w:r w:rsidRPr="004479F2">
        <w:t>Dutcher, B., Fan, M., Russell, A.G., 2015. Amine-based CO2 capture technology development from the beginning of 2013-A review. ACS Appl Mater Interfaces 7, 2137–2148</w:t>
      </w:r>
      <w:r w:rsidR="00376A31" w:rsidRPr="004479F2">
        <w:t>.</w:t>
      </w:r>
    </w:p>
    <w:p w14:paraId="796AA7AE" w14:textId="2350FED0" w:rsidR="005E1EAE" w:rsidRPr="004479F2" w:rsidRDefault="005E1EAE" w:rsidP="006B4888">
      <w:pPr>
        <w:pStyle w:val="CETReferencetext"/>
      </w:pPr>
      <w:r w:rsidRPr="004479F2">
        <w:t>Gilardi, M., Bisotti</w:t>
      </w:r>
      <w:r w:rsidR="009444B3" w:rsidRPr="004479F2">
        <w:t xml:space="preserve">, F., Tobiesen, A., Knuutila H.K., </w:t>
      </w:r>
      <w:r w:rsidR="004D58FB" w:rsidRPr="004479F2">
        <w:t xml:space="preserve">Bonalumi, D., </w:t>
      </w:r>
      <w:r w:rsidR="00C81563" w:rsidRPr="004479F2">
        <w:t>An approach for VLE model development, validation, and implementation in Aspen Plus for amine blends in CO2 capture: the HS3 solvent case study (submitted)</w:t>
      </w:r>
    </w:p>
    <w:p w14:paraId="3828DB0F" w14:textId="52614A42" w:rsidR="002122F2" w:rsidRPr="004479F2" w:rsidRDefault="002122F2" w:rsidP="006B4888">
      <w:pPr>
        <w:pStyle w:val="CETReferencetext"/>
      </w:pPr>
      <w:r w:rsidRPr="004479F2">
        <w:t xml:space="preserve">Hartono, A., Ahmad, R., Svendsen, H.F., Knuutila, H.K., 2021. New solubility and heat of absorption data for CO2 in blends of 2-amino-2-methyl-1-propanol (AMP) and Piperazine (PZ) and a new eNRTL model representation. Fluid Phase Equilib 550. </w:t>
      </w:r>
    </w:p>
    <w:p w14:paraId="7BE14502" w14:textId="65A66327" w:rsidR="00EC10DB" w:rsidRPr="004479F2" w:rsidRDefault="00EC10DB" w:rsidP="006B4888">
      <w:pPr>
        <w:pStyle w:val="CETReferencetext"/>
      </w:pPr>
      <w:r w:rsidRPr="004479F2">
        <w:t>Hartono, A., Carusone, F., Knuutila, H. Equilibrium behavior and the heat of absorption of CO2 of aqueous 3-amino-1-propanol and 3-amino-1-propanol - 1-(2-hydroxyethyl) pyrrolidine blends</w:t>
      </w:r>
      <w:r w:rsidR="00AB3DF9" w:rsidRPr="004479F2">
        <w:t xml:space="preserve"> (submitted)</w:t>
      </w:r>
    </w:p>
    <w:p w14:paraId="6AAD2842" w14:textId="730F8D78" w:rsidR="004C6105" w:rsidRPr="004479F2" w:rsidRDefault="004C6105" w:rsidP="006B4888">
      <w:pPr>
        <w:pStyle w:val="CETReferencetext"/>
      </w:pPr>
      <w:r w:rsidRPr="004479F2">
        <w:rPr>
          <w:lang w:val="nb-NO"/>
        </w:rPr>
        <w:t xml:space="preserve">Kim, I., Svendsen, H.F., 2011. </w:t>
      </w:r>
      <w:r w:rsidRPr="004479F2">
        <w:t xml:space="preserve">Comparative study of the heat of absorption of post-combustion CO2 absorbents. International Journal of Greenhouse Gas Control 5, 390–395. </w:t>
      </w:r>
    </w:p>
    <w:p w14:paraId="3A49B878" w14:textId="3C1B1699" w:rsidR="00EC10DB" w:rsidRPr="000112B2" w:rsidRDefault="00EC10DB" w:rsidP="006B4888">
      <w:pPr>
        <w:pStyle w:val="CETReferencetext"/>
      </w:pPr>
      <w:r w:rsidRPr="003849F9">
        <w:t xml:space="preserve">Li, M., Liu, H., Luo, X., Tontiwachwuthikul, P., Liang, Z., 2017. </w:t>
      </w:r>
      <w:r w:rsidRPr="00EC10DB">
        <w:t xml:space="preserve">Development of Ion Speciation Plots for Three Promising Tertiary Amine-CO2-H2O Systems Using the pH Method and the 13C NMR Method. </w:t>
      </w:r>
      <w:r w:rsidRPr="000112B2">
        <w:t xml:space="preserve">Energy and Fuels 31, 3069–3080. </w:t>
      </w:r>
    </w:p>
    <w:p w14:paraId="7E563C20" w14:textId="2565745C" w:rsidR="00EC10DB" w:rsidRPr="00EC10DB" w:rsidRDefault="00EC10DB" w:rsidP="006B4888">
      <w:pPr>
        <w:pStyle w:val="CETReferencetext"/>
      </w:pPr>
      <w:r w:rsidRPr="003849F9">
        <w:t xml:space="preserve">Lin, Y., ten Kate, A., Mooijer, M., Delgado, J., Fosbøl, P.L., Thomsen, K., 2010. </w:t>
      </w:r>
      <w:r w:rsidRPr="00EC10DB">
        <w:t>Comparison of activity coefficient models for electrolyte systems. AIChE Journal 56, 1334–1351. https://doi.org/10.1002/aic.12040</w:t>
      </w:r>
    </w:p>
    <w:p w14:paraId="35FEDD76" w14:textId="763EAC9E" w:rsidR="002122F2" w:rsidRDefault="002122F2" w:rsidP="006B4888">
      <w:pPr>
        <w:pStyle w:val="CETReferencetext"/>
        <w:rPr>
          <w:lang w:val="de-DE"/>
        </w:rPr>
      </w:pPr>
      <w:r w:rsidRPr="002122F2">
        <w:rPr>
          <w:lang w:val="de-DE"/>
        </w:rPr>
        <w:t xml:space="preserve">Lin, Y.-J., Hsieh, C.-J., Chen, C.-C., 2022. </w:t>
      </w:r>
      <w:r w:rsidRPr="002122F2">
        <w:t xml:space="preserve">Association-based activity coefficient model for electrolyte solutions. </w:t>
      </w:r>
      <w:r w:rsidRPr="002122F2">
        <w:rPr>
          <w:lang w:val="de-DE"/>
        </w:rPr>
        <w:t xml:space="preserve">AIChE Journal 68, e17422. </w:t>
      </w:r>
    </w:p>
    <w:p w14:paraId="65A2A668" w14:textId="576760EF" w:rsidR="004C6105" w:rsidRPr="00EC10DB" w:rsidRDefault="004C6105" w:rsidP="006B4888">
      <w:pPr>
        <w:pStyle w:val="CETReferencetext"/>
      </w:pPr>
      <w:r w:rsidRPr="004C6105">
        <w:t xml:space="preserve">Mundhwa, M., Henni, A., 2007. Molar heat capacity of various aqueous alkanolamine solutions from 303.15 K to 353.15 K. J Chem Eng Data 52, 491–498. </w:t>
      </w:r>
    </w:p>
    <w:p w14:paraId="65D7A3F8" w14:textId="1D15BED4" w:rsidR="000467D9" w:rsidRDefault="000467D9" w:rsidP="006B4888">
      <w:pPr>
        <w:pStyle w:val="CETReferencetext"/>
      </w:pPr>
      <w:r w:rsidRPr="000467D9">
        <w:rPr>
          <w:lang w:val="it-IT"/>
        </w:rPr>
        <w:t xml:space="preserve">Pellegrini, L.A., Gilardi, M., Giudici, F., Spatolisano, E., 2021. </w:t>
      </w:r>
      <w:r w:rsidRPr="000467D9">
        <w:t xml:space="preserve">New solvents for </w:t>
      </w:r>
      <w:r w:rsidR="00672C5E">
        <w:t>CO</w:t>
      </w:r>
      <w:r w:rsidRPr="000467D9">
        <w:t xml:space="preserve">2 and </w:t>
      </w:r>
      <w:r w:rsidR="00672C5E">
        <w:t>H</w:t>
      </w:r>
      <w:r w:rsidRPr="000467D9">
        <w:t>2</w:t>
      </w:r>
      <w:r w:rsidR="00672C5E">
        <w:t>S</w:t>
      </w:r>
      <w:r w:rsidRPr="000467D9">
        <w:t xml:space="preserve"> removal from gaseous streams. Energies (Basel) 14. </w:t>
      </w:r>
    </w:p>
    <w:p w14:paraId="0470F135" w14:textId="6248E199" w:rsidR="00EC10DB" w:rsidRDefault="00EC10DB" w:rsidP="006B4888">
      <w:pPr>
        <w:pStyle w:val="CETReferencetext"/>
      </w:pPr>
      <w:r w:rsidRPr="00EC10DB">
        <w:t>Posey, M.L., Rochelle, G.T., 1997. A Thermodynamic Model of Methyldiethanolamine-CO2-</w:t>
      </w:r>
      <w:r w:rsidR="00672C5E">
        <w:t>H</w:t>
      </w:r>
      <w:r w:rsidRPr="00EC10DB">
        <w:t>2S-Water.</w:t>
      </w:r>
    </w:p>
    <w:p w14:paraId="2B7A6F8E" w14:textId="0949B850" w:rsidR="00DB1E39" w:rsidRDefault="00DB1E39" w:rsidP="00DB1E39">
      <w:pPr>
        <w:pStyle w:val="CETReferencetext"/>
      </w:pPr>
      <w:r w:rsidRPr="000467D9">
        <w:t>REALISE, 2022. REALISE CCUS [WWW Document].</w:t>
      </w:r>
    </w:p>
    <w:p w14:paraId="0218414C" w14:textId="758DDC1F" w:rsidR="000467D9" w:rsidRDefault="000467D9" w:rsidP="006B4888">
      <w:pPr>
        <w:pStyle w:val="CETReferencetext"/>
      </w:pPr>
      <w:r w:rsidRPr="000467D9">
        <w:t xml:space="preserve">Renon, H., Prausnitz, J.M., 1969. Estimation of Parameters for the NRTL Equation for Excess Gibbs Energies of Strongly Nonideal Liquid Mixtures. Industrial &amp; Engineering Chemistry Process Design and Development 8, 413–419. </w:t>
      </w:r>
    </w:p>
    <w:p w14:paraId="5A13856B" w14:textId="7718D223" w:rsidR="006B4888" w:rsidRPr="000D56D6" w:rsidRDefault="000467D9" w:rsidP="00DB1E39">
      <w:pPr>
        <w:pStyle w:val="CETReferencetext"/>
      </w:pPr>
      <w:r w:rsidRPr="000467D9">
        <w:t>Yamada, H., 2021. Amine-based capture of CO2 for utilization and storage. Polym J 53, 93–102.</w:t>
      </w:r>
    </w:p>
    <w:sectPr w:rsidR="006B4888" w:rsidRPr="000D56D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08C9" w14:textId="77777777" w:rsidR="00983961" w:rsidRDefault="00983961" w:rsidP="004F5E36">
      <w:r>
        <w:separator/>
      </w:r>
    </w:p>
  </w:endnote>
  <w:endnote w:type="continuationSeparator" w:id="0">
    <w:p w14:paraId="16A0020F" w14:textId="77777777" w:rsidR="00983961" w:rsidRDefault="009839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D544" w14:textId="77777777" w:rsidR="00983961" w:rsidRDefault="00983961" w:rsidP="004F5E36">
      <w:r>
        <w:separator/>
      </w:r>
    </w:p>
  </w:footnote>
  <w:footnote w:type="continuationSeparator" w:id="0">
    <w:p w14:paraId="23D9F0E2" w14:textId="77777777" w:rsidR="00983961" w:rsidRDefault="0098396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C1BD0"/>
    <w:multiLevelType w:val="multilevel"/>
    <w:tmpl w:val="432074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38217E"/>
    <w:multiLevelType w:val="multilevel"/>
    <w:tmpl w:val="542C7CEE"/>
    <w:lvl w:ilvl="0">
      <w:start w:val="1"/>
      <w:numFmt w:val="decimal"/>
      <w:suff w:val="space"/>
      <w:lvlText w:val="Chapter %1"/>
      <w:lvlJc w:val="left"/>
      <w:pPr>
        <w:ind w:left="142"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5471624">
    <w:abstractNumId w:val="11"/>
  </w:num>
  <w:num w:numId="2" w16cid:durableId="900671306">
    <w:abstractNumId w:val="8"/>
  </w:num>
  <w:num w:numId="3" w16cid:durableId="117340716">
    <w:abstractNumId w:val="3"/>
  </w:num>
  <w:num w:numId="4" w16cid:durableId="1265654356">
    <w:abstractNumId w:val="2"/>
  </w:num>
  <w:num w:numId="5" w16cid:durableId="1934165208">
    <w:abstractNumId w:val="1"/>
  </w:num>
  <w:num w:numId="6" w16cid:durableId="462190451">
    <w:abstractNumId w:val="0"/>
  </w:num>
  <w:num w:numId="7" w16cid:durableId="1928684833">
    <w:abstractNumId w:val="9"/>
  </w:num>
  <w:num w:numId="8" w16cid:durableId="479925294">
    <w:abstractNumId w:val="7"/>
  </w:num>
  <w:num w:numId="9" w16cid:durableId="1040205256">
    <w:abstractNumId w:val="6"/>
  </w:num>
  <w:num w:numId="10" w16cid:durableId="2047362352">
    <w:abstractNumId w:val="5"/>
  </w:num>
  <w:num w:numId="11" w16cid:durableId="270093142">
    <w:abstractNumId w:val="4"/>
  </w:num>
  <w:num w:numId="12" w16cid:durableId="518201772">
    <w:abstractNumId w:val="18"/>
  </w:num>
  <w:num w:numId="13" w16cid:durableId="1397631726">
    <w:abstractNumId w:val="13"/>
  </w:num>
  <w:num w:numId="14" w16cid:durableId="1191064336">
    <w:abstractNumId w:val="19"/>
  </w:num>
  <w:num w:numId="15" w16cid:durableId="910965945">
    <w:abstractNumId w:val="21"/>
  </w:num>
  <w:num w:numId="16" w16cid:durableId="858080052">
    <w:abstractNumId w:val="20"/>
  </w:num>
  <w:num w:numId="17" w16cid:durableId="900486625">
    <w:abstractNumId w:val="12"/>
  </w:num>
  <w:num w:numId="18" w16cid:durableId="1091243997">
    <w:abstractNumId w:val="13"/>
    <w:lvlOverride w:ilvl="0">
      <w:startOverride w:val="1"/>
    </w:lvlOverride>
  </w:num>
  <w:num w:numId="19" w16cid:durableId="1145200660">
    <w:abstractNumId w:val="17"/>
  </w:num>
  <w:num w:numId="20" w16cid:durableId="304354874">
    <w:abstractNumId w:val="16"/>
  </w:num>
  <w:num w:numId="21" w16cid:durableId="1185555378">
    <w:abstractNumId w:val="15"/>
  </w:num>
  <w:num w:numId="22" w16cid:durableId="1649020109">
    <w:abstractNumId w:val="14"/>
  </w:num>
  <w:num w:numId="23" w16cid:durableId="485780949">
    <w:abstractNumId w:val="11"/>
    <w:lvlOverride w:ilvl="0">
      <w:startOverride w:val="1"/>
    </w:lvlOverride>
    <w:lvlOverride w:ilvl="1">
      <w:startOverride w:val="3"/>
    </w:lvlOverride>
    <w:lvlOverride w:ilvl="2">
      <w:startOverride w:val="1"/>
    </w:lvlOverride>
  </w:num>
  <w:num w:numId="24" w16cid:durableId="1774202715">
    <w:abstractNumId w:val="10"/>
  </w:num>
  <w:num w:numId="25" w16cid:durableId="1268927905">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2B2"/>
    <w:rsid w:val="000117CB"/>
    <w:rsid w:val="00022220"/>
    <w:rsid w:val="0003148D"/>
    <w:rsid w:val="00031EEC"/>
    <w:rsid w:val="000467D9"/>
    <w:rsid w:val="00051566"/>
    <w:rsid w:val="00052DA7"/>
    <w:rsid w:val="0005333F"/>
    <w:rsid w:val="000553EC"/>
    <w:rsid w:val="000562A9"/>
    <w:rsid w:val="00062A9A"/>
    <w:rsid w:val="00065058"/>
    <w:rsid w:val="00086C39"/>
    <w:rsid w:val="000A03B2"/>
    <w:rsid w:val="000B283D"/>
    <w:rsid w:val="000D0268"/>
    <w:rsid w:val="000D34BD"/>
    <w:rsid w:val="000D34BE"/>
    <w:rsid w:val="000E102F"/>
    <w:rsid w:val="000E1870"/>
    <w:rsid w:val="000E33AB"/>
    <w:rsid w:val="000E36F1"/>
    <w:rsid w:val="000E3A73"/>
    <w:rsid w:val="000E414A"/>
    <w:rsid w:val="000F093C"/>
    <w:rsid w:val="000F37D3"/>
    <w:rsid w:val="000F787B"/>
    <w:rsid w:val="0012091F"/>
    <w:rsid w:val="00126BC2"/>
    <w:rsid w:val="001308B6"/>
    <w:rsid w:val="0013121F"/>
    <w:rsid w:val="00131FE6"/>
    <w:rsid w:val="0013263F"/>
    <w:rsid w:val="001331DF"/>
    <w:rsid w:val="001335A5"/>
    <w:rsid w:val="00134DE4"/>
    <w:rsid w:val="0014034D"/>
    <w:rsid w:val="00144D16"/>
    <w:rsid w:val="00150E59"/>
    <w:rsid w:val="00152DE3"/>
    <w:rsid w:val="00164CF9"/>
    <w:rsid w:val="001667A6"/>
    <w:rsid w:val="00180190"/>
    <w:rsid w:val="00184AD6"/>
    <w:rsid w:val="00192596"/>
    <w:rsid w:val="001A0EE2"/>
    <w:rsid w:val="001A48C7"/>
    <w:rsid w:val="001A4AF7"/>
    <w:rsid w:val="001B0349"/>
    <w:rsid w:val="001B1E93"/>
    <w:rsid w:val="001B3714"/>
    <w:rsid w:val="001B65C1"/>
    <w:rsid w:val="001C684B"/>
    <w:rsid w:val="001D0CFB"/>
    <w:rsid w:val="001D21AF"/>
    <w:rsid w:val="001D26F9"/>
    <w:rsid w:val="001D53FC"/>
    <w:rsid w:val="001F1450"/>
    <w:rsid w:val="001F42A5"/>
    <w:rsid w:val="001F7B9D"/>
    <w:rsid w:val="00201C93"/>
    <w:rsid w:val="002122F2"/>
    <w:rsid w:val="002155CE"/>
    <w:rsid w:val="0022229E"/>
    <w:rsid w:val="002224B4"/>
    <w:rsid w:val="002334D8"/>
    <w:rsid w:val="00242D61"/>
    <w:rsid w:val="002447EF"/>
    <w:rsid w:val="00251550"/>
    <w:rsid w:val="00263B05"/>
    <w:rsid w:val="00266DB9"/>
    <w:rsid w:val="0027221A"/>
    <w:rsid w:val="00273043"/>
    <w:rsid w:val="00275B61"/>
    <w:rsid w:val="00280CD1"/>
    <w:rsid w:val="00280FAF"/>
    <w:rsid w:val="00282656"/>
    <w:rsid w:val="00296B83"/>
    <w:rsid w:val="002B0266"/>
    <w:rsid w:val="002B2258"/>
    <w:rsid w:val="002B4015"/>
    <w:rsid w:val="002B5C32"/>
    <w:rsid w:val="002B78CE"/>
    <w:rsid w:val="002B7DAD"/>
    <w:rsid w:val="002C2FB6"/>
    <w:rsid w:val="002E118D"/>
    <w:rsid w:val="002E5FA7"/>
    <w:rsid w:val="002F3309"/>
    <w:rsid w:val="003008CE"/>
    <w:rsid w:val="003009B7"/>
    <w:rsid w:val="00300E56"/>
    <w:rsid w:val="0030152C"/>
    <w:rsid w:val="00302496"/>
    <w:rsid w:val="00303B47"/>
    <w:rsid w:val="0030469C"/>
    <w:rsid w:val="003104E8"/>
    <w:rsid w:val="00321CA6"/>
    <w:rsid w:val="00323763"/>
    <w:rsid w:val="00323C5F"/>
    <w:rsid w:val="00334C09"/>
    <w:rsid w:val="00345EC2"/>
    <w:rsid w:val="003541EC"/>
    <w:rsid w:val="003723D4"/>
    <w:rsid w:val="00376A31"/>
    <w:rsid w:val="00381905"/>
    <w:rsid w:val="003849F9"/>
    <w:rsid w:val="00384CC8"/>
    <w:rsid w:val="003871FD"/>
    <w:rsid w:val="003947E8"/>
    <w:rsid w:val="003A1E30"/>
    <w:rsid w:val="003A2829"/>
    <w:rsid w:val="003A7D1C"/>
    <w:rsid w:val="003B304B"/>
    <w:rsid w:val="003B3146"/>
    <w:rsid w:val="003B401E"/>
    <w:rsid w:val="003C4AFA"/>
    <w:rsid w:val="003D7B2C"/>
    <w:rsid w:val="003E3C3D"/>
    <w:rsid w:val="003F015E"/>
    <w:rsid w:val="003F6918"/>
    <w:rsid w:val="00400414"/>
    <w:rsid w:val="00411567"/>
    <w:rsid w:val="0041446B"/>
    <w:rsid w:val="0044071E"/>
    <w:rsid w:val="00441E01"/>
    <w:rsid w:val="0044329C"/>
    <w:rsid w:val="004479F2"/>
    <w:rsid w:val="00453E24"/>
    <w:rsid w:val="00457456"/>
    <w:rsid w:val="004577FE"/>
    <w:rsid w:val="00457B9C"/>
    <w:rsid w:val="0046164A"/>
    <w:rsid w:val="004628D2"/>
    <w:rsid w:val="00462DCD"/>
    <w:rsid w:val="004648AD"/>
    <w:rsid w:val="004703A9"/>
    <w:rsid w:val="0047501D"/>
    <w:rsid w:val="0047565A"/>
    <w:rsid w:val="004760DE"/>
    <w:rsid w:val="004763D7"/>
    <w:rsid w:val="00485D79"/>
    <w:rsid w:val="00495D1A"/>
    <w:rsid w:val="004A004E"/>
    <w:rsid w:val="004A220F"/>
    <w:rsid w:val="004A24CF"/>
    <w:rsid w:val="004B4235"/>
    <w:rsid w:val="004C3D1D"/>
    <w:rsid w:val="004C3D84"/>
    <w:rsid w:val="004C6105"/>
    <w:rsid w:val="004C7913"/>
    <w:rsid w:val="004D0952"/>
    <w:rsid w:val="004D58FB"/>
    <w:rsid w:val="004D60A1"/>
    <w:rsid w:val="004D79E1"/>
    <w:rsid w:val="004E4DD6"/>
    <w:rsid w:val="004E719E"/>
    <w:rsid w:val="004E7974"/>
    <w:rsid w:val="004F5E36"/>
    <w:rsid w:val="005008C1"/>
    <w:rsid w:val="00507B47"/>
    <w:rsid w:val="00507BEF"/>
    <w:rsid w:val="00507CC9"/>
    <w:rsid w:val="005119A5"/>
    <w:rsid w:val="00512F26"/>
    <w:rsid w:val="00516144"/>
    <w:rsid w:val="005278B7"/>
    <w:rsid w:val="005304DC"/>
    <w:rsid w:val="00532016"/>
    <w:rsid w:val="005346C8"/>
    <w:rsid w:val="00534FA3"/>
    <w:rsid w:val="00541B01"/>
    <w:rsid w:val="00543B1B"/>
    <w:rsid w:val="00543E7D"/>
    <w:rsid w:val="00546FAC"/>
    <w:rsid w:val="00547A68"/>
    <w:rsid w:val="005531C9"/>
    <w:rsid w:val="00554843"/>
    <w:rsid w:val="00555B34"/>
    <w:rsid w:val="00570C43"/>
    <w:rsid w:val="0059236F"/>
    <w:rsid w:val="005B0B71"/>
    <w:rsid w:val="005B2110"/>
    <w:rsid w:val="005B45A3"/>
    <w:rsid w:val="005B61E6"/>
    <w:rsid w:val="005C5C77"/>
    <w:rsid w:val="005C71CF"/>
    <w:rsid w:val="005C77E1"/>
    <w:rsid w:val="005D4DDD"/>
    <w:rsid w:val="005D668A"/>
    <w:rsid w:val="005D6A2F"/>
    <w:rsid w:val="005E1A82"/>
    <w:rsid w:val="005E1EAE"/>
    <w:rsid w:val="005E464F"/>
    <w:rsid w:val="005E4DCF"/>
    <w:rsid w:val="005E76B4"/>
    <w:rsid w:val="005E794C"/>
    <w:rsid w:val="005F0A28"/>
    <w:rsid w:val="005F0E5E"/>
    <w:rsid w:val="005F2086"/>
    <w:rsid w:val="005F4AA4"/>
    <w:rsid w:val="00600535"/>
    <w:rsid w:val="006047A4"/>
    <w:rsid w:val="00610CD6"/>
    <w:rsid w:val="00620DEE"/>
    <w:rsid w:val="00621F92"/>
    <w:rsid w:val="0062280A"/>
    <w:rsid w:val="00623F59"/>
    <w:rsid w:val="00625639"/>
    <w:rsid w:val="00631B33"/>
    <w:rsid w:val="006325AB"/>
    <w:rsid w:val="00636993"/>
    <w:rsid w:val="0064184D"/>
    <w:rsid w:val="006422CC"/>
    <w:rsid w:val="00660E3E"/>
    <w:rsid w:val="00661738"/>
    <w:rsid w:val="00662E74"/>
    <w:rsid w:val="00672C5E"/>
    <w:rsid w:val="00672F99"/>
    <w:rsid w:val="0067490E"/>
    <w:rsid w:val="00680C23"/>
    <w:rsid w:val="00693766"/>
    <w:rsid w:val="006A0A87"/>
    <w:rsid w:val="006A0FA1"/>
    <w:rsid w:val="006A3281"/>
    <w:rsid w:val="006B4888"/>
    <w:rsid w:val="006C2E45"/>
    <w:rsid w:val="006C359C"/>
    <w:rsid w:val="006C5579"/>
    <w:rsid w:val="006D6E8B"/>
    <w:rsid w:val="006E52F5"/>
    <w:rsid w:val="006E737D"/>
    <w:rsid w:val="0070013C"/>
    <w:rsid w:val="00713973"/>
    <w:rsid w:val="00720A24"/>
    <w:rsid w:val="00722FE1"/>
    <w:rsid w:val="00732386"/>
    <w:rsid w:val="0073514D"/>
    <w:rsid w:val="007447F3"/>
    <w:rsid w:val="007534E5"/>
    <w:rsid w:val="0075499F"/>
    <w:rsid w:val="007661C8"/>
    <w:rsid w:val="0077098D"/>
    <w:rsid w:val="00770E6B"/>
    <w:rsid w:val="00773358"/>
    <w:rsid w:val="0077565E"/>
    <w:rsid w:val="0077745E"/>
    <w:rsid w:val="007931FA"/>
    <w:rsid w:val="007A2BB5"/>
    <w:rsid w:val="007A4861"/>
    <w:rsid w:val="007A7BBA"/>
    <w:rsid w:val="007B0C50"/>
    <w:rsid w:val="007B48F9"/>
    <w:rsid w:val="007C047B"/>
    <w:rsid w:val="007C1A43"/>
    <w:rsid w:val="007D0951"/>
    <w:rsid w:val="007D5032"/>
    <w:rsid w:val="007E1EF4"/>
    <w:rsid w:val="0080013E"/>
    <w:rsid w:val="00801381"/>
    <w:rsid w:val="00813288"/>
    <w:rsid w:val="008168FC"/>
    <w:rsid w:val="00830996"/>
    <w:rsid w:val="008345F1"/>
    <w:rsid w:val="00840E98"/>
    <w:rsid w:val="0085353F"/>
    <w:rsid w:val="008558CF"/>
    <w:rsid w:val="00857EA7"/>
    <w:rsid w:val="00865B07"/>
    <w:rsid w:val="008667EA"/>
    <w:rsid w:val="0087637F"/>
    <w:rsid w:val="0088612C"/>
    <w:rsid w:val="00892AD5"/>
    <w:rsid w:val="008A1512"/>
    <w:rsid w:val="008A259E"/>
    <w:rsid w:val="008A70EC"/>
    <w:rsid w:val="008B735B"/>
    <w:rsid w:val="008C706F"/>
    <w:rsid w:val="008D216B"/>
    <w:rsid w:val="008D32B9"/>
    <w:rsid w:val="008D433B"/>
    <w:rsid w:val="008D4A16"/>
    <w:rsid w:val="008E566E"/>
    <w:rsid w:val="008E568A"/>
    <w:rsid w:val="008F6594"/>
    <w:rsid w:val="0090161A"/>
    <w:rsid w:val="00901EB6"/>
    <w:rsid w:val="00904C62"/>
    <w:rsid w:val="009075ED"/>
    <w:rsid w:val="00922BA8"/>
    <w:rsid w:val="00924DAC"/>
    <w:rsid w:val="00927058"/>
    <w:rsid w:val="00934AE6"/>
    <w:rsid w:val="00942750"/>
    <w:rsid w:val="009444B3"/>
    <w:rsid w:val="009450CE"/>
    <w:rsid w:val="009459BB"/>
    <w:rsid w:val="00947179"/>
    <w:rsid w:val="0095164B"/>
    <w:rsid w:val="00951E2D"/>
    <w:rsid w:val="00954090"/>
    <w:rsid w:val="009573E7"/>
    <w:rsid w:val="009574DE"/>
    <w:rsid w:val="00960A31"/>
    <w:rsid w:val="00963E05"/>
    <w:rsid w:val="00964A45"/>
    <w:rsid w:val="00967843"/>
    <w:rsid w:val="00967D54"/>
    <w:rsid w:val="00971028"/>
    <w:rsid w:val="0098323C"/>
    <w:rsid w:val="00983961"/>
    <w:rsid w:val="00993B84"/>
    <w:rsid w:val="00994537"/>
    <w:rsid w:val="00996483"/>
    <w:rsid w:val="00996F5A"/>
    <w:rsid w:val="009A3B0F"/>
    <w:rsid w:val="009B041A"/>
    <w:rsid w:val="009C37C3"/>
    <w:rsid w:val="009C7C86"/>
    <w:rsid w:val="009D2FF7"/>
    <w:rsid w:val="009D5364"/>
    <w:rsid w:val="009E02C5"/>
    <w:rsid w:val="009E1D67"/>
    <w:rsid w:val="009E3DFB"/>
    <w:rsid w:val="009E5A6E"/>
    <w:rsid w:val="009E729E"/>
    <w:rsid w:val="009E7884"/>
    <w:rsid w:val="009E788A"/>
    <w:rsid w:val="009F0E08"/>
    <w:rsid w:val="00A04AD5"/>
    <w:rsid w:val="00A05978"/>
    <w:rsid w:val="00A1763D"/>
    <w:rsid w:val="00A17CEC"/>
    <w:rsid w:val="00A21871"/>
    <w:rsid w:val="00A25547"/>
    <w:rsid w:val="00A27EF0"/>
    <w:rsid w:val="00A42361"/>
    <w:rsid w:val="00A50B20"/>
    <w:rsid w:val="00A51390"/>
    <w:rsid w:val="00A54EFE"/>
    <w:rsid w:val="00A56A3E"/>
    <w:rsid w:val="00A60D13"/>
    <w:rsid w:val="00A630C3"/>
    <w:rsid w:val="00A7223D"/>
    <w:rsid w:val="00A72745"/>
    <w:rsid w:val="00A75EA0"/>
    <w:rsid w:val="00A76EFC"/>
    <w:rsid w:val="00A80DAC"/>
    <w:rsid w:val="00A87D50"/>
    <w:rsid w:val="00A91010"/>
    <w:rsid w:val="00A91BD8"/>
    <w:rsid w:val="00A954AE"/>
    <w:rsid w:val="00A96A71"/>
    <w:rsid w:val="00A97F29"/>
    <w:rsid w:val="00AA2D4A"/>
    <w:rsid w:val="00AA702E"/>
    <w:rsid w:val="00AA7D26"/>
    <w:rsid w:val="00AA7F28"/>
    <w:rsid w:val="00AB0964"/>
    <w:rsid w:val="00AB3DF9"/>
    <w:rsid w:val="00AB5011"/>
    <w:rsid w:val="00AB5988"/>
    <w:rsid w:val="00AC7368"/>
    <w:rsid w:val="00AD16B9"/>
    <w:rsid w:val="00AE10BB"/>
    <w:rsid w:val="00AE150F"/>
    <w:rsid w:val="00AE377D"/>
    <w:rsid w:val="00AF0EBA"/>
    <w:rsid w:val="00B02C8A"/>
    <w:rsid w:val="00B05A0E"/>
    <w:rsid w:val="00B06EA9"/>
    <w:rsid w:val="00B17FBD"/>
    <w:rsid w:val="00B315A6"/>
    <w:rsid w:val="00B31813"/>
    <w:rsid w:val="00B33365"/>
    <w:rsid w:val="00B357B6"/>
    <w:rsid w:val="00B57AF8"/>
    <w:rsid w:val="00B57B36"/>
    <w:rsid w:val="00B57E6F"/>
    <w:rsid w:val="00B669A7"/>
    <w:rsid w:val="00B71FE9"/>
    <w:rsid w:val="00B770E3"/>
    <w:rsid w:val="00B77E00"/>
    <w:rsid w:val="00B8686D"/>
    <w:rsid w:val="00B86BD1"/>
    <w:rsid w:val="00B93F69"/>
    <w:rsid w:val="00B944BC"/>
    <w:rsid w:val="00B96B02"/>
    <w:rsid w:val="00BB1DDC"/>
    <w:rsid w:val="00BC1527"/>
    <w:rsid w:val="00BC1BDB"/>
    <w:rsid w:val="00BC30C9"/>
    <w:rsid w:val="00BC6ADE"/>
    <w:rsid w:val="00BD077D"/>
    <w:rsid w:val="00BE3E58"/>
    <w:rsid w:val="00BF6973"/>
    <w:rsid w:val="00C01616"/>
    <w:rsid w:val="00C0162B"/>
    <w:rsid w:val="00C068ED"/>
    <w:rsid w:val="00C15A04"/>
    <w:rsid w:val="00C22E0C"/>
    <w:rsid w:val="00C3349F"/>
    <w:rsid w:val="00C345B1"/>
    <w:rsid w:val="00C40142"/>
    <w:rsid w:val="00C437D2"/>
    <w:rsid w:val="00C52C3C"/>
    <w:rsid w:val="00C57182"/>
    <w:rsid w:val="00C57863"/>
    <w:rsid w:val="00C640AF"/>
    <w:rsid w:val="00C655FD"/>
    <w:rsid w:val="00C75407"/>
    <w:rsid w:val="00C76A9C"/>
    <w:rsid w:val="00C81563"/>
    <w:rsid w:val="00C837C0"/>
    <w:rsid w:val="00C870A8"/>
    <w:rsid w:val="00C94434"/>
    <w:rsid w:val="00CA0D75"/>
    <w:rsid w:val="00CA1C95"/>
    <w:rsid w:val="00CA5A9C"/>
    <w:rsid w:val="00CB59E3"/>
    <w:rsid w:val="00CC19DA"/>
    <w:rsid w:val="00CC4C20"/>
    <w:rsid w:val="00CD0D66"/>
    <w:rsid w:val="00CD3517"/>
    <w:rsid w:val="00CD5FE2"/>
    <w:rsid w:val="00CE7C68"/>
    <w:rsid w:val="00CF28A6"/>
    <w:rsid w:val="00D011EA"/>
    <w:rsid w:val="00D02B4C"/>
    <w:rsid w:val="00D040C4"/>
    <w:rsid w:val="00D20AD1"/>
    <w:rsid w:val="00D26AAD"/>
    <w:rsid w:val="00D37CA8"/>
    <w:rsid w:val="00D46B7E"/>
    <w:rsid w:val="00D47C09"/>
    <w:rsid w:val="00D57C84"/>
    <w:rsid w:val="00D6057D"/>
    <w:rsid w:val="00D648C2"/>
    <w:rsid w:val="00D70A23"/>
    <w:rsid w:val="00D71640"/>
    <w:rsid w:val="00D82E49"/>
    <w:rsid w:val="00D836C5"/>
    <w:rsid w:val="00D84576"/>
    <w:rsid w:val="00D85E77"/>
    <w:rsid w:val="00DA0589"/>
    <w:rsid w:val="00DA1123"/>
    <w:rsid w:val="00DA1399"/>
    <w:rsid w:val="00DA24C6"/>
    <w:rsid w:val="00DA4D7B"/>
    <w:rsid w:val="00DB1E39"/>
    <w:rsid w:val="00DB35DB"/>
    <w:rsid w:val="00DC037A"/>
    <w:rsid w:val="00DD0F71"/>
    <w:rsid w:val="00DD271C"/>
    <w:rsid w:val="00DD4E34"/>
    <w:rsid w:val="00DD7158"/>
    <w:rsid w:val="00DE264A"/>
    <w:rsid w:val="00DF5072"/>
    <w:rsid w:val="00E02D18"/>
    <w:rsid w:val="00E0374B"/>
    <w:rsid w:val="00E040FF"/>
    <w:rsid w:val="00E041E7"/>
    <w:rsid w:val="00E05453"/>
    <w:rsid w:val="00E23CA1"/>
    <w:rsid w:val="00E409A8"/>
    <w:rsid w:val="00E428AA"/>
    <w:rsid w:val="00E50C12"/>
    <w:rsid w:val="00E5532C"/>
    <w:rsid w:val="00E65B91"/>
    <w:rsid w:val="00E7209D"/>
    <w:rsid w:val="00E72EAD"/>
    <w:rsid w:val="00E77223"/>
    <w:rsid w:val="00E8528B"/>
    <w:rsid w:val="00E85B94"/>
    <w:rsid w:val="00E978D0"/>
    <w:rsid w:val="00EA4613"/>
    <w:rsid w:val="00EA7F91"/>
    <w:rsid w:val="00EB1523"/>
    <w:rsid w:val="00EB4E61"/>
    <w:rsid w:val="00EB644B"/>
    <w:rsid w:val="00EC0E49"/>
    <w:rsid w:val="00EC101F"/>
    <w:rsid w:val="00EC10DB"/>
    <w:rsid w:val="00EC1D9F"/>
    <w:rsid w:val="00ED22BD"/>
    <w:rsid w:val="00EE0131"/>
    <w:rsid w:val="00EE17B0"/>
    <w:rsid w:val="00EF06D9"/>
    <w:rsid w:val="00F000AD"/>
    <w:rsid w:val="00F01C8D"/>
    <w:rsid w:val="00F05288"/>
    <w:rsid w:val="00F15742"/>
    <w:rsid w:val="00F3049E"/>
    <w:rsid w:val="00F30C64"/>
    <w:rsid w:val="00F32BA2"/>
    <w:rsid w:val="00F32CDB"/>
    <w:rsid w:val="00F565FE"/>
    <w:rsid w:val="00F60333"/>
    <w:rsid w:val="00F63A70"/>
    <w:rsid w:val="00F63D8C"/>
    <w:rsid w:val="00F7534E"/>
    <w:rsid w:val="00F778C2"/>
    <w:rsid w:val="00F87944"/>
    <w:rsid w:val="00F92EA4"/>
    <w:rsid w:val="00F93EDF"/>
    <w:rsid w:val="00F93FC3"/>
    <w:rsid w:val="00F97031"/>
    <w:rsid w:val="00FA1646"/>
    <w:rsid w:val="00FA1802"/>
    <w:rsid w:val="00FA21D0"/>
    <w:rsid w:val="00FA5F5F"/>
    <w:rsid w:val="00FA7483"/>
    <w:rsid w:val="00FB1515"/>
    <w:rsid w:val="00FB6224"/>
    <w:rsid w:val="00FB730C"/>
    <w:rsid w:val="00FC2695"/>
    <w:rsid w:val="00FC3AC6"/>
    <w:rsid w:val="00FC3E03"/>
    <w:rsid w:val="00FC3FC1"/>
    <w:rsid w:val="00FC5D1C"/>
    <w:rsid w:val="00FF3AD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553EC"/>
    <w:pPr>
      <w:keepNext/>
      <w:numPr>
        <w:ilvl w:val="2"/>
        <w:numId w:val="1"/>
      </w:num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553E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Menzionenonrisolta1">
    <w:name w:val="Menzione non risolta1"/>
    <w:basedOn w:val="DefaultParagraphFont"/>
    <w:uiPriority w:val="99"/>
    <w:semiHidden/>
    <w:unhideWhenUsed/>
    <w:rsid w:val="0098323C"/>
    <w:rPr>
      <w:color w:val="605E5C"/>
      <w:shd w:val="clear" w:color="auto" w:fill="E1DFDD"/>
    </w:rPr>
  </w:style>
  <w:style w:type="character" w:styleId="PlaceholderText">
    <w:name w:val="Placeholder Text"/>
    <w:basedOn w:val="DefaultParagraphFont"/>
    <w:uiPriority w:val="99"/>
    <w:semiHidden/>
    <w:rsid w:val="004C6105"/>
    <w:rPr>
      <w:color w:val="808080"/>
    </w:rPr>
  </w:style>
  <w:style w:type="paragraph" w:styleId="Revision">
    <w:name w:val="Revision"/>
    <w:hidden/>
    <w:uiPriority w:val="99"/>
    <w:semiHidden/>
    <w:rsid w:val="00A75EA0"/>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DB3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realiseccu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lippo.Bisotti@sintef.no"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mailto:matteo.gilardi@polimi.it"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13479043E6472CA0FE6F09D2BD6143"/>
        <w:category>
          <w:name w:val="Generale"/>
          <w:gallery w:val="placeholder"/>
        </w:category>
        <w:types>
          <w:type w:val="bbPlcHdr"/>
        </w:types>
        <w:behaviors>
          <w:behavior w:val="content"/>
        </w:behaviors>
        <w:guid w:val="{5343E424-644E-4569-98D2-D3DEC4EE114A}"/>
      </w:docPartPr>
      <w:docPartBody>
        <w:p w:rsidR="00AE780C" w:rsidRDefault="005A0946" w:rsidP="005A0946">
          <w:pPr>
            <w:pStyle w:val="B313479043E6472CA0FE6F09D2BD6143"/>
          </w:pPr>
          <w:r w:rsidRPr="00904A77">
            <w:rPr>
              <w:rStyle w:val="PlaceholderText"/>
            </w:rPr>
            <w:t>Fare clic o toccare qui per immettere il testo.</w:t>
          </w:r>
        </w:p>
      </w:docPartBody>
    </w:docPart>
    <w:docPart>
      <w:docPartPr>
        <w:name w:val="608143A9483547C1B7401A9544A85A67"/>
        <w:category>
          <w:name w:val="Generale"/>
          <w:gallery w:val="placeholder"/>
        </w:category>
        <w:types>
          <w:type w:val="bbPlcHdr"/>
        </w:types>
        <w:behaviors>
          <w:behavior w:val="content"/>
        </w:behaviors>
        <w:guid w:val="{E7439050-E348-4354-A7F7-AEC4197C32D8}"/>
      </w:docPartPr>
      <w:docPartBody>
        <w:p w:rsidR="00AE780C" w:rsidRDefault="005A0946" w:rsidP="005A0946">
          <w:pPr>
            <w:pStyle w:val="608143A9483547C1B7401A9544A85A67"/>
          </w:pPr>
          <w:r w:rsidRPr="00904A77">
            <w:rPr>
              <w:rStyle w:val="PlaceholderText"/>
            </w:rPr>
            <w:t>Fare clic o toccare qui per immettere il testo.</w:t>
          </w:r>
        </w:p>
      </w:docPartBody>
    </w:docPart>
    <w:docPart>
      <w:docPartPr>
        <w:name w:val="0907F5D68AD74BA2909EF44157C5233F"/>
        <w:category>
          <w:name w:val="Generale"/>
          <w:gallery w:val="placeholder"/>
        </w:category>
        <w:types>
          <w:type w:val="bbPlcHdr"/>
        </w:types>
        <w:behaviors>
          <w:behavior w:val="content"/>
        </w:behaviors>
        <w:guid w:val="{D6C299C4-917C-486B-897B-FC51C28BB205}"/>
      </w:docPartPr>
      <w:docPartBody>
        <w:p w:rsidR="00AE780C" w:rsidRDefault="00AE780C" w:rsidP="00AE780C">
          <w:pPr>
            <w:pStyle w:val="0907F5D68AD74BA2909EF44157C5233F"/>
          </w:pPr>
          <w:r w:rsidRPr="00904A77">
            <w:rPr>
              <w:rStyle w:val="PlaceholderText"/>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46"/>
    <w:rsid w:val="003420DD"/>
    <w:rsid w:val="004236EA"/>
    <w:rsid w:val="004908BE"/>
    <w:rsid w:val="00574939"/>
    <w:rsid w:val="005A0946"/>
    <w:rsid w:val="007B0B04"/>
    <w:rsid w:val="007C1822"/>
    <w:rsid w:val="0080730D"/>
    <w:rsid w:val="00AE780C"/>
    <w:rsid w:val="00C4233F"/>
    <w:rsid w:val="00D70B37"/>
    <w:rsid w:val="00D871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80C"/>
    <w:rPr>
      <w:color w:val="808080"/>
    </w:rPr>
  </w:style>
  <w:style w:type="paragraph" w:customStyle="1" w:styleId="B313479043E6472CA0FE6F09D2BD6143">
    <w:name w:val="B313479043E6472CA0FE6F09D2BD6143"/>
    <w:rsid w:val="005A0946"/>
  </w:style>
  <w:style w:type="paragraph" w:customStyle="1" w:styleId="608143A9483547C1B7401A9544A85A67">
    <w:name w:val="608143A9483547C1B7401A9544A85A67"/>
    <w:rsid w:val="005A0946"/>
  </w:style>
  <w:style w:type="paragraph" w:customStyle="1" w:styleId="0907F5D68AD74BA2909EF44157C5233F">
    <w:name w:val="0907F5D68AD74BA2909EF44157C5233F"/>
    <w:rsid w:val="00AE7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3BF4-2A21-4C06-B136-1000550D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3248</Words>
  <Characters>18516</Characters>
  <Application>Microsoft Office Word</Application>
  <DocSecurity>0</DocSecurity>
  <Lines>154</Lines>
  <Paragraphs>43</Paragraphs>
  <ScaleCrop>false</ScaleCrop>
  <HeadingPairs>
    <vt:vector size="8" baseType="variant">
      <vt:variant>
        <vt:lpstr>タイトル</vt:lpstr>
      </vt:variant>
      <vt:variant>
        <vt:i4>1</vt:i4>
      </vt:variant>
      <vt:variant>
        <vt:lpstr>見出し</vt:lpstr>
      </vt:variant>
      <vt:variant>
        <vt:i4>1</vt:i4>
      </vt:variant>
      <vt:variant>
        <vt:lpstr>Title</vt:lpstr>
      </vt:variant>
      <vt:variant>
        <vt:i4>1</vt:i4>
      </vt:variant>
      <vt:variant>
        <vt:lpstr>Titolo</vt:lpstr>
      </vt:variant>
      <vt:variant>
        <vt:i4>1</vt:i4>
      </vt:variant>
    </vt:vector>
  </HeadingPairs>
  <TitlesOfParts>
    <vt:vector size="4" baseType="lpstr">
      <vt:lpstr/>
      <vt:lpstr>Aspen Plus ENRTL Model for HS3 Blend, a Novel Solvent for CO2 Capture</vt:lpstr>
      <vt:lpstr/>
      <vt:lpstr/>
    </vt:vector>
  </TitlesOfParts>
  <Company>Dipartimento CMIC - Politecnico di Milano</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Filippo Bisotti</cp:lastModifiedBy>
  <cp:revision>4</cp:revision>
  <cp:lastPrinted>2015-05-12T18:31:00Z</cp:lastPrinted>
  <dcterms:created xsi:type="dcterms:W3CDTF">2023-03-01T09:32:00Z</dcterms:created>
  <dcterms:modified xsi:type="dcterms:W3CDTF">2023-03-01T11:06:00Z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7ddbcac09705f6918e5eeeaa411f9283428fd4c4393f76fa891a0d8dd284c903</vt:lpwstr>
  </property>
</Properties>
</file>